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851" w:rsidRPr="00067851" w:rsidRDefault="00067851" w:rsidP="00067851">
      <w:pPr>
        <w:jc w:val="center"/>
        <w:rPr>
          <w:rFonts w:ascii="Times New Roman" w:hAnsi="Times New Roman"/>
          <w:b/>
          <w:bCs/>
          <w:sz w:val="28"/>
          <w:szCs w:val="28"/>
        </w:rPr>
      </w:pPr>
      <w:bookmarkStart w:id="0" w:name="_Hlk106279992"/>
      <w:bookmarkStart w:id="1" w:name="_Hlk106781313"/>
      <w:bookmarkStart w:id="2" w:name="_Hlk99914108"/>
      <w:r w:rsidRPr="00067851">
        <w:rPr>
          <w:rFonts w:ascii="Times New Roman" w:hAnsi="Times New Roman"/>
          <w:b/>
          <w:bCs/>
          <w:sz w:val="28"/>
          <w:szCs w:val="28"/>
        </w:rPr>
        <w:t>PELAKSANAAN PERJANJIAN JUAL BELI MELALUI PEMBIAYAAN BANK PADA PROYEK PERUMAHAN RIYANDA RESIDENCE</w:t>
      </w:r>
    </w:p>
    <w:p w:rsidR="00067851" w:rsidRPr="00067851" w:rsidRDefault="00067851" w:rsidP="00067851">
      <w:pPr>
        <w:spacing w:after="0"/>
        <w:jc w:val="center"/>
        <w:rPr>
          <w:rFonts w:ascii="Times New Roman" w:hAnsi="Times New Roman"/>
          <w:b/>
          <w:bCs/>
          <w:sz w:val="24"/>
          <w:szCs w:val="24"/>
        </w:rPr>
      </w:pPr>
      <w:r w:rsidRPr="00067851">
        <w:rPr>
          <w:rFonts w:ascii="Times New Roman" w:hAnsi="Times New Roman"/>
          <w:b/>
          <w:bCs/>
          <w:sz w:val="24"/>
          <w:szCs w:val="24"/>
        </w:rPr>
        <w:t>Riti Sriwanti</w:t>
      </w:r>
    </w:p>
    <w:p w:rsidR="00067851" w:rsidRDefault="00067851" w:rsidP="00067851">
      <w:pPr>
        <w:spacing w:after="0"/>
        <w:jc w:val="center"/>
        <w:rPr>
          <w:rFonts w:ascii="Times New Roman" w:hAnsi="Times New Roman"/>
          <w:b/>
          <w:bCs/>
          <w:sz w:val="24"/>
          <w:szCs w:val="24"/>
        </w:rPr>
      </w:pPr>
      <w:r w:rsidRPr="00067851">
        <w:rPr>
          <w:rFonts w:ascii="Times New Roman" w:hAnsi="Times New Roman"/>
          <w:b/>
          <w:bCs/>
          <w:sz w:val="24"/>
          <w:szCs w:val="24"/>
        </w:rPr>
        <w:t xml:space="preserve">  Mujiburrahman</w:t>
      </w:r>
    </w:p>
    <w:p w:rsidR="003D2CB9" w:rsidRPr="00067851" w:rsidRDefault="003D2CB9" w:rsidP="00067851">
      <w:pPr>
        <w:spacing w:after="0"/>
        <w:jc w:val="center"/>
        <w:rPr>
          <w:rFonts w:ascii="Times New Roman" w:hAnsi="Times New Roman"/>
          <w:b/>
          <w:bCs/>
          <w:sz w:val="24"/>
          <w:szCs w:val="24"/>
        </w:rPr>
      </w:pPr>
      <w:r>
        <w:rPr>
          <w:rFonts w:ascii="Times New Roman" w:hAnsi="Times New Roman"/>
          <w:b/>
          <w:bCs/>
          <w:sz w:val="24"/>
          <w:szCs w:val="24"/>
        </w:rPr>
        <w:t>M Ihsan</w:t>
      </w:r>
    </w:p>
    <w:p w:rsidR="00067851" w:rsidRDefault="00067851" w:rsidP="00067851">
      <w:pPr>
        <w:spacing w:after="0" w:line="240" w:lineRule="auto"/>
        <w:jc w:val="center"/>
        <w:rPr>
          <w:rFonts w:ascii="Times New Roman" w:hAnsi="Times New Roman"/>
          <w:sz w:val="20"/>
          <w:szCs w:val="20"/>
        </w:rPr>
      </w:pPr>
    </w:p>
    <w:p w:rsidR="00067851" w:rsidRPr="00A75828" w:rsidRDefault="00A75828" w:rsidP="00067851">
      <w:pPr>
        <w:spacing w:after="0" w:line="240" w:lineRule="auto"/>
        <w:jc w:val="center"/>
        <w:rPr>
          <w:rFonts w:ascii="Times New Roman" w:hAnsi="Times New Roman"/>
          <w:b/>
          <w:bCs/>
          <w:iCs/>
        </w:rPr>
      </w:pPr>
      <w:r>
        <w:rPr>
          <w:rFonts w:ascii="Times New Roman" w:hAnsi="Times New Roman"/>
          <w:b/>
          <w:bCs/>
          <w:iCs/>
        </w:rPr>
        <w:t>Abstrak</w:t>
      </w:r>
    </w:p>
    <w:p w:rsidR="00067851" w:rsidRDefault="00067851" w:rsidP="00067851">
      <w:pPr>
        <w:spacing w:after="0" w:line="240" w:lineRule="auto"/>
        <w:jc w:val="both"/>
        <w:rPr>
          <w:rFonts w:ascii="Times New Roman" w:hAnsi="Times New Roman"/>
        </w:rPr>
      </w:pPr>
      <w:r>
        <w:rPr>
          <w:rFonts w:ascii="Times New Roman" w:hAnsi="Times New Roman"/>
        </w:rPr>
        <w:t>Perjanjian yang dilakukan oleh pihak developer dengan pihak bank serta pihak konsumen dalam proyek jual beli rumah di perumahan Riyanda Residence merupakan hubungan yang saling menguntungkan. Tujuan penelitian adalah menganalisis implementasi perjanjian jual beli kredit kepemilikan rumah yang terdapat dalam Pasal 1338 KUHPerdata dan memahami hambatan dalam pelaksanaan perjanjian jual beli hingga mengetahui hak dan kewajiban konsumen, perbankan, dan developer dalam perjanjial jual beli rumah melalui fasilitas kredit kepemilikan rumah. Metode yang digunakan dalam penelitian adalah metode normatif empiris dengan teknik pengumpulan data melalui penelitian kepustakaan dan wawancara. Hasil penelitian dapat disimpulkan bahwa penyelesaian perjanjian jual beli melalui pembiayaan bank berdasarkan UU Perjanjian jual beli, UU Pembiayaan, dan kesepakatan para pihak serta hambatan dalam pelaksanaan perjanjian jual beli pihak konsumen dan pihak bank secara yuridis, sosiologis, dan filosofis.</w:t>
      </w:r>
    </w:p>
    <w:p w:rsidR="004A14AE" w:rsidRDefault="00067851" w:rsidP="00A75828">
      <w:pPr>
        <w:widowControl w:val="0"/>
        <w:tabs>
          <w:tab w:val="left" w:pos="1418"/>
        </w:tabs>
        <w:autoSpaceDE w:val="0"/>
        <w:autoSpaceDN w:val="0"/>
        <w:spacing w:after="0" w:line="360" w:lineRule="auto"/>
        <w:jc w:val="both"/>
        <w:rPr>
          <w:rFonts w:ascii="Times New Roman" w:hAnsi="Times New Roman"/>
          <w:i/>
          <w:iCs/>
        </w:rPr>
      </w:pPr>
      <w:r>
        <w:rPr>
          <w:rFonts w:ascii="Times New Roman" w:hAnsi="Times New Roman"/>
          <w:b/>
          <w:bCs/>
          <w:i/>
          <w:iCs/>
        </w:rPr>
        <w:t xml:space="preserve">Keywords: </w:t>
      </w:r>
      <w:r>
        <w:rPr>
          <w:rFonts w:ascii="Times New Roman" w:hAnsi="Times New Roman"/>
          <w:i/>
          <w:iCs/>
        </w:rPr>
        <w:t>Pembiayaan Bank, Perjajian Jual Beli, Rumah Subsidi</w:t>
      </w:r>
    </w:p>
    <w:p w:rsidR="00A75828" w:rsidRDefault="00A75828" w:rsidP="00A75828">
      <w:pPr>
        <w:spacing w:after="0" w:line="240" w:lineRule="auto"/>
        <w:jc w:val="center"/>
        <w:rPr>
          <w:rFonts w:ascii="Times New Roman" w:hAnsi="Times New Roman"/>
          <w:b/>
          <w:bCs/>
          <w:i/>
          <w:iCs/>
        </w:rPr>
      </w:pPr>
      <w:r>
        <w:rPr>
          <w:rFonts w:ascii="Times New Roman" w:hAnsi="Times New Roman"/>
          <w:b/>
          <w:bCs/>
          <w:i/>
          <w:iCs/>
        </w:rPr>
        <w:t>Abstract</w:t>
      </w:r>
    </w:p>
    <w:p w:rsidR="00A75828" w:rsidRDefault="00A75828" w:rsidP="00A75828">
      <w:pPr>
        <w:widowControl w:val="0"/>
        <w:tabs>
          <w:tab w:val="left" w:pos="1418"/>
        </w:tabs>
        <w:autoSpaceDE w:val="0"/>
        <w:autoSpaceDN w:val="0"/>
        <w:spacing w:after="0" w:line="240" w:lineRule="auto"/>
        <w:jc w:val="both"/>
        <w:rPr>
          <w:rFonts w:ascii="Times New Roman" w:hAnsi="Times New Roman"/>
          <w:bCs/>
          <w:iCs/>
          <w:lang w:val="en"/>
        </w:rPr>
      </w:pPr>
    </w:p>
    <w:p w:rsidR="00A75828" w:rsidRPr="00A75828" w:rsidRDefault="00A75828" w:rsidP="00A75828">
      <w:pPr>
        <w:widowControl w:val="0"/>
        <w:tabs>
          <w:tab w:val="left" w:pos="1418"/>
        </w:tabs>
        <w:autoSpaceDE w:val="0"/>
        <w:autoSpaceDN w:val="0"/>
        <w:spacing w:after="0" w:line="240" w:lineRule="auto"/>
        <w:jc w:val="both"/>
        <w:rPr>
          <w:rFonts w:ascii="Times New Roman" w:hAnsi="Times New Roman"/>
          <w:bCs/>
          <w:iCs/>
          <w:lang w:val="en"/>
        </w:rPr>
      </w:pPr>
      <w:r w:rsidRPr="00A75828">
        <w:rPr>
          <w:rFonts w:ascii="Times New Roman" w:hAnsi="Times New Roman"/>
          <w:bCs/>
          <w:iCs/>
          <w:lang w:val="en"/>
        </w:rPr>
        <w:t>The agreement made by the developer with the bank and the consumer in the house buying and selling project at the Riyanda Residence housing complex is a mutually beneficial relationship. The aim of the research is to analyze the implementation of the home ownership credit sale and purchase agreement contained in Article 1338 of the Civil Code and understand the obstacles in implementing the sale and purchase agreement to find out the rights and obligations of consumers, banks and developers in home sale and purchase agreements through home ownership credit facilities. The method used in the research is an empirical normative method with data collection techniques through library research and interviews. The results of the research can be concluded that the completion of the sale and purchase agreement through bank financing is based on the Sale and Purchase Agreement Law, the Financing Law, and the agreement of the parties as well as obstacles in implementing the sale and purchase agreement on the part of the consumer and the bank, juridically, sociologically and philosophically.</w:t>
      </w:r>
    </w:p>
    <w:p w:rsidR="00A75828" w:rsidRPr="00A75828" w:rsidRDefault="00A75828" w:rsidP="00A75828">
      <w:pPr>
        <w:widowControl w:val="0"/>
        <w:tabs>
          <w:tab w:val="left" w:pos="1418"/>
        </w:tabs>
        <w:autoSpaceDE w:val="0"/>
        <w:autoSpaceDN w:val="0"/>
        <w:spacing w:after="0" w:line="240" w:lineRule="auto"/>
        <w:jc w:val="both"/>
        <w:rPr>
          <w:rFonts w:ascii="Times New Roman" w:hAnsi="Times New Roman"/>
          <w:bCs/>
          <w:iCs/>
          <w:lang w:val="en-ID"/>
        </w:rPr>
      </w:pPr>
      <w:r w:rsidRPr="00A75828">
        <w:rPr>
          <w:rFonts w:ascii="Times New Roman" w:hAnsi="Times New Roman"/>
          <w:bCs/>
          <w:iCs/>
          <w:lang w:val="en"/>
        </w:rPr>
        <w:t>Keywords: Bank Financing, Sale and Purchase Agreement, Subsidized Housing</w:t>
      </w:r>
    </w:p>
    <w:p w:rsidR="00067851" w:rsidRDefault="00067851" w:rsidP="00067851">
      <w:pPr>
        <w:widowControl w:val="0"/>
        <w:tabs>
          <w:tab w:val="left" w:pos="1418"/>
        </w:tabs>
        <w:autoSpaceDE w:val="0"/>
        <w:autoSpaceDN w:val="0"/>
        <w:spacing w:after="0" w:line="360" w:lineRule="auto"/>
        <w:jc w:val="both"/>
        <w:rPr>
          <w:rFonts w:ascii="Times New Roman" w:hAnsi="Times New Roman"/>
          <w:b/>
          <w:bCs/>
          <w:i/>
          <w:iCs/>
        </w:rPr>
      </w:pPr>
    </w:p>
    <w:p w:rsidR="00A75828" w:rsidRDefault="00A75828" w:rsidP="00067851">
      <w:pPr>
        <w:widowControl w:val="0"/>
        <w:tabs>
          <w:tab w:val="left" w:pos="1418"/>
        </w:tabs>
        <w:autoSpaceDE w:val="0"/>
        <w:autoSpaceDN w:val="0"/>
        <w:spacing w:after="0" w:line="360" w:lineRule="auto"/>
        <w:jc w:val="both"/>
        <w:rPr>
          <w:rFonts w:ascii="Times New Roman" w:hAnsi="Times New Roman"/>
          <w:b/>
          <w:bCs/>
          <w:i/>
          <w:iCs/>
        </w:rPr>
      </w:pPr>
    </w:p>
    <w:p w:rsidR="00067851" w:rsidRPr="00A75828" w:rsidRDefault="00067851" w:rsidP="00A75828">
      <w:pPr>
        <w:spacing w:after="0"/>
        <w:rPr>
          <w:rFonts w:ascii="Times New Roman" w:hAnsi="Times New Roman"/>
          <w:b/>
          <w:bCs/>
          <w:sz w:val="24"/>
          <w:szCs w:val="24"/>
        </w:rPr>
      </w:pPr>
      <w:r w:rsidRPr="00A75828">
        <w:rPr>
          <w:rFonts w:ascii="Times New Roman" w:hAnsi="Times New Roman"/>
          <w:b/>
          <w:bCs/>
          <w:sz w:val="24"/>
          <w:szCs w:val="24"/>
        </w:rPr>
        <w:t>PENDAHULUAN</w:t>
      </w:r>
    </w:p>
    <w:p w:rsidR="00067851" w:rsidRPr="00A75828" w:rsidRDefault="00067851" w:rsidP="00A75828">
      <w:pPr>
        <w:spacing w:after="0"/>
        <w:rPr>
          <w:rFonts w:ascii="Times New Roman" w:hAnsi="Times New Roman"/>
          <w:b/>
          <w:bCs/>
          <w:sz w:val="24"/>
          <w:szCs w:val="24"/>
        </w:rPr>
      </w:pPr>
    </w:p>
    <w:p w:rsidR="00067851" w:rsidRPr="00A75828" w:rsidRDefault="00067851" w:rsidP="00A75828">
      <w:pPr>
        <w:spacing w:after="0"/>
        <w:jc w:val="both"/>
        <w:rPr>
          <w:rFonts w:ascii="Times New Roman" w:hAnsi="Times New Roman"/>
          <w:sz w:val="24"/>
          <w:szCs w:val="24"/>
        </w:rPr>
      </w:pPr>
      <w:r w:rsidRPr="00A75828">
        <w:rPr>
          <w:rFonts w:ascii="Times New Roman" w:hAnsi="Times New Roman"/>
          <w:b/>
          <w:bCs/>
          <w:sz w:val="24"/>
          <w:szCs w:val="24"/>
        </w:rPr>
        <w:tab/>
      </w:r>
      <w:r w:rsidRPr="00A75828">
        <w:rPr>
          <w:rFonts w:ascii="Times New Roman" w:hAnsi="Times New Roman"/>
          <w:sz w:val="24"/>
          <w:szCs w:val="24"/>
        </w:rPr>
        <w:t>Perumahan adalah kebutuhan pokok manusia yang kian hari makin meningkat.</w:t>
      </w:r>
      <w:sdt>
        <w:sdtPr>
          <w:rPr>
            <w:rFonts w:ascii="Times New Roman" w:hAnsi="Times New Roman"/>
            <w:sz w:val="24"/>
            <w:szCs w:val="24"/>
          </w:rPr>
          <w:id w:val="1685317957"/>
          <w:citation/>
        </w:sdtPr>
        <w:sdtEndPr/>
        <w:sdtContent>
          <w:r w:rsidRPr="00A75828">
            <w:rPr>
              <w:rFonts w:ascii="Times New Roman" w:hAnsi="Times New Roman"/>
              <w:sz w:val="24"/>
              <w:szCs w:val="24"/>
            </w:rPr>
            <w:fldChar w:fldCharType="begin"/>
          </w:r>
          <w:r w:rsidRPr="00A75828">
            <w:rPr>
              <w:rFonts w:ascii="Times New Roman" w:hAnsi="Times New Roman"/>
              <w:sz w:val="24"/>
              <w:szCs w:val="24"/>
            </w:rPr>
            <w:instrText xml:space="preserve"> CITATION San17 \l 1033 </w:instrText>
          </w:r>
          <w:r w:rsidRPr="00A75828">
            <w:rPr>
              <w:rFonts w:ascii="Times New Roman" w:hAnsi="Times New Roman"/>
              <w:sz w:val="24"/>
              <w:szCs w:val="24"/>
            </w:rPr>
            <w:fldChar w:fldCharType="separate"/>
          </w:r>
          <w:r w:rsidRPr="00A75828">
            <w:rPr>
              <w:rFonts w:ascii="Times New Roman" w:hAnsi="Times New Roman"/>
              <w:noProof/>
              <w:sz w:val="24"/>
              <w:szCs w:val="24"/>
            </w:rPr>
            <w:t xml:space="preserve"> (Urip, 2017)</w:t>
          </w:r>
          <w:r w:rsidRPr="00A75828">
            <w:rPr>
              <w:rFonts w:ascii="Times New Roman" w:hAnsi="Times New Roman"/>
              <w:sz w:val="24"/>
              <w:szCs w:val="24"/>
            </w:rPr>
            <w:fldChar w:fldCharType="end"/>
          </w:r>
        </w:sdtContent>
      </w:sdt>
      <w:r w:rsidRPr="00A75828">
        <w:rPr>
          <w:rFonts w:ascii="Times New Roman" w:hAnsi="Times New Roman"/>
          <w:sz w:val="24"/>
          <w:szCs w:val="24"/>
        </w:rPr>
        <w:t xml:space="preserve"> Namun masyarakat berpenghasilan rendah kesulitan untuk membeli rumah secara tunai. Untuk itu, pemerintah menyediakan dana pembiayaan kredit kepemilikan rumah (KPR) subsidi melalui bank sebagai kunci untuk membuka pintu akses terhadap kepemilikan rumah bagi masyarakat. Hal ini sesuai pernyataan yang menyatakan perjanjian jual beli rumah melalui pembiayaan bank bukan hanya menciptakan hubungan finansial anatara pihak yang terlibat </w:t>
      </w:r>
      <w:r w:rsidRPr="00A75828">
        <w:rPr>
          <w:rFonts w:ascii="Times New Roman" w:hAnsi="Times New Roman"/>
          <w:sz w:val="24"/>
          <w:szCs w:val="24"/>
        </w:rPr>
        <w:lastRenderedPageBreak/>
        <w:t xml:space="preserve">tetapi mempermudah legalitas dalam proses pemberkasan untuk mencapai keberhasilan dalam pembelian property dengan dukungan pembelian unit rumah berdasarkan Pasal 1338 KUHPerdata. </w:t>
      </w:r>
    </w:p>
    <w:p w:rsidR="00067851" w:rsidRPr="00A75828" w:rsidRDefault="00067851" w:rsidP="00A75828">
      <w:pPr>
        <w:spacing w:after="0"/>
        <w:ind w:firstLine="720"/>
        <w:jc w:val="both"/>
        <w:rPr>
          <w:rFonts w:ascii="Times New Roman" w:hAnsi="Times New Roman"/>
          <w:sz w:val="24"/>
          <w:szCs w:val="24"/>
        </w:rPr>
      </w:pPr>
      <w:r w:rsidRPr="00A75828">
        <w:rPr>
          <w:rFonts w:ascii="Times New Roman" w:hAnsi="Times New Roman"/>
          <w:sz w:val="24"/>
          <w:szCs w:val="24"/>
        </w:rPr>
        <w:t>Peran perbankan dalam menyediakan dana pembaiayaan memiliki dampak positif signifikan terhadap stabilitas ekonomi dan kesejahteraan rakyat. Penyediaan kredit kepemilikan rumah oleh Lembaga keuangan berperan sebagai pintu akses terhadap property bagi masyarakat.</w:t>
      </w:r>
    </w:p>
    <w:p w:rsidR="00067851" w:rsidRPr="00A75828" w:rsidRDefault="00067851" w:rsidP="00A75828">
      <w:pPr>
        <w:spacing w:after="0"/>
        <w:ind w:firstLine="720"/>
        <w:jc w:val="both"/>
        <w:rPr>
          <w:rFonts w:ascii="Times New Roman" w:hAnsi="Times New Roman"/>
          <w:sz w:val="24"/>
          <w:szCs w:val="24"/>
        </w:rPr>
      </w:pPr>
      <w:r w:rsidRPr="00A75828">
        <w:rPr>
          <w:rFonts w:ascii="Times New Roman" w:hAnsi="Times New Roman"/>
          <w:sz w:val="24"/>
          <w:szCs w:val="24"/>
        </w:rPr>
        <w:t xml:space="preserve">Perjanjian kredit kepemilikan rumah tidak hanya mengatur aspek finansial dari transaksi perumahan tetapi juga berperan sebagai instrument hukum yang menentukan hak dan kewajiban masing-masing pihak. Keseimbangan yang bagi antara kejelasan ketentuan hukum, perlindungan konsumen, dan keberlanjutan finansial adalah jendela untuk menciptakan perjanjian KPR yang efektif dan adil </w:t>
      </w:r>
      <w:sdt>
        <w:sdtPr>
          <w:rPr>
            <w:rFonts w:ascii="Times New Roman" w:hAnsi="Times New Roman"/>
            <w:sz w:val="24"/>
            <w:szCs w:val="24"/>
          </w:rPr>
          <w:id w:val="63387792"/>
          <w:citation/>
        </w:sdtPr>
        <w:sdtEndPr/>
        <w:sdtContent>
          <w:r w:rsidRPr="00A75828">
            <w:rPr>
              <w:rFonts w:ascii="Times New Roman" w:hAnsi="Times New Roman"/>
              <w:sz w:val="24"/>
              <w:szCs w:val="24"/>
            </w:rPr>
            <w:fldChar w:fldCharType="begin"/>
          </w:r>
          <w:r w:rsidRPr="00A75828">
            <w:rPr>
              <w:rFonts w:ascii="Times New Roman" w:hAnsi="Times New Roman"/>
              <w:sz w:val="24"/>
              <w:szCs w:val="24"/>
            </w:rPr>
            <w:instrText xml:space="preserve">CITATION Joh23 \l 1033 </w:instrText>
          </w:r>
          <w:r w:rsidRPr="00A75828">
            <w:rPr>
              <w:rFonts w:ascii="Times New Roman" w:hAnsi="Times New Roman"/>
              <w:sz w:val="24"/>
              <w:szCs w:val="24"/>
            </w:rPr>
            <w:fldChar w:fldCharType="separate"/>
          </w:r>
          <w:r w:rsidRPr="00A75828">
            <w:rPr>
              <w:rFonts w:ascii="Times New Roman" w:hAnsi="Times New Roman"/>
              <w:noProof/>
              <w:sz w:val="24"/>
              <w:szCs w:val="24"/>
            </w:rPr>
            <w:t>(Johnson et.al., 2023)</w:t>
          </w:r>
          <w:r w:rsidRPr="00A75828">
            <w:rPr>
              <w:rFonts w:ascii="Times New Roman" w:hAnsi="Times New Roman"/>
              <w:sz w:val="24"/>
              <w:szCs w:val="24"/>
            </w:rPr>
            <w:fldChar w:fldCharType="end"/>
          </w:r>
        </w:sdtContent>
      </w:sdt>
      <w:r w:rsidRPr="00A75828">
        <w:rPr>
          <w:rFonts w:ascii="Times New Roman" w:hAnsi="Times New Roman"/>
          <w:sz w:val="24"/>
          <w:szCs w:val="24"/>
        </w:rPr>
        <w:t xml:space="preserve">. Hal ini sesuai dengan pernyataan yang menyatakan perjanjian jual beli rumah melalui pembiayaan bank bukan hanya menciptakan hubungan finansial antara pihak yang terlibat tapi melibatkan perlindungan konsumen, ketentuan hukum dan kelancaran proses transaksi untuk mencapai keberhasilan dalam pembelian property dengan dukungan pembiayaan bank </w:t>
      </w:r>
      <w:sdt>
        <w:sdtPr>
          <w:rPr>
            <w:rFonts w:ascii="Times New Roman" w:hAnsi="Times New Roman"/>
            <w:sz w:val="24"/>
            <w:szCs w:val="24"/>
          </w:rPr>
          <w:id w:val="4100564"/>
          <w:citation/>
        </w:sdtPr>
        <w:sdtEndPr/>
        <w:sdtContent>
          <w:r w:rsidRPr="00A75828">
            <w:rPr>
              <w:rFonts w:ascii="Times New Roman" w:hAnsi="Times New Roman"/>
              <w:sz w:val="24"/>
              <w:szCs w:val="24"/>
            </w:rPr>
            <w:fldChar w:fldCharType="begin"/>
          </w:r>
          <w:r w:rsidRPr="00A75828">
            <w:rPr>
              <w:rFonts w:ascii="Times New Roman" w:hAnsi="Times New Roman"/>
              <w:sz w:val="24"/>
              <w:szCs w:val="24"/>
            </w:rPr>
            <w:instrText xml:space="preserve"> CITATION Smi22 \l 1033 </w:instrText>
          </w:r>
          <w:r w:rsidRPr="00A75828">
            <w:rPr>
              <w:rFonts w:ascii="Times New Roman" w:hAnsi="Times New Roman"/>
              <w:sz w:val="24"/>
              <w:szCs w:val="24"/>
            </w:rPr>
            <w:fldChar w:fldCharType="separate"/>
          </w:r>
          <w:r w:rsidRPr="00A75828">
            <w:rPr>
              <w:rFonts w:ascii="Times New Roman" w:hAnsi="Times New Roman"/>
              <w:noProof/>
              <w:sz w:val="24"/>
              <w:szCs w:val="24"/>
            </w:rPr>
            <w:t>(Smith et.al., 2022)</w:t>
          </w:r>
          <w:r w:rsidRPr="00A75828">
            <w:rPr>
              <w:rFonts w:ascii="Times New Roman" w:hAnsi="Times New Roman"/>
              <w:sz w:val="24"/>
              <w:szCs w:val="24"/>
            </w:rPr>
            <w:fldChar w:fldCharType="end"/>
          </w:r>
        </w:sdtContent>
      </w:sdt>
      <w:r w:rsidRPr="00A75828">
        <w:rPr>
          <w:rFonts w:ascii="Times New Roman" w:hAnsi="Times New Roman"/>
          <w:sz w:val="24"/>
          <w:szCs w:val="24"/>
        </w:rPr>
        <w:t>.</w:t>
      </w:r>
    </w:p>
    <w:p w:rsidR="00067851" w:rsidRPr="00A75828" w:rsidRDefault="00067851" w:rsidP="00A75828">
      <w:pPr>
        <w:spacing w:after="0"/>
        <w:ind w:firstLine="720"/>
        <w:jc w:val="both"/>
        <w:rPr>
          <w:rFonts w:ascii="Times New Roman" w:hAnsi="Times New Roman"/>
          <w:sz w:val="24"/>
          <w:szCs w:val="24"/>
        </w:rPr>
      </w:pPr>
      <w:r w:rsidRPr="00A75828">
        <w:rPr>
          <w:rFonts w:ascii="Times New Roman" w:hAnsi="Times New Roman"/>
          <w:sz w:val="24"/>
          <w:szCs w:val="24"/>
        </w:rPr>
        <w:t>Tujuan penelitian adalah menganalisis implementasi perjanjian jual beli kredit kepemilikan rumah antara konsumen dan developer dalam melibatkan bank yang terdapat dalam Pasal 1338 KUHPerdata dan memahami hambatan dalam pelaksanaan perjanjian jual beli yang terjadi hingga dapat mengetahui hak dan kewajiban konsumen, perbankan dan developer dalam perjanjian jual beli kepemilikan rumah. Dengan demikian Peneliti akan memastikan manganalisis data untuk mendapatkan informasi yang tepat, efesien dan efektif untuk dapat dipegunakan dalam pengembalian keputusan tepat pada pelaksanaan perjanjian jual beli. Oleh karena itu, peneliti ingin mengetahui lebih dalam penjelasan dalam hal kebebasan berkontrak yang tercantum pada judul “Pelaksanaan Perjanjian Jual Beli Melalui Pembiayaan Bank Pada Proyek Perumahan Riyanda Residence”.</w:t>
      </w:r>
    </w:p>
    <w:p w:rsidR="00067851" w:rsidRPr="00A75828" w:rsidRDefault="00067851" w:rsidP="00A75828">
      <w:pPr>
        <w:jc w:val="both"/>
        <w:rPr>
          <w:rFonts w:ascii="Times New Roman" w:hAnsi="Times New Roman"/>
          <w:b/>
          <w:bCs/>
          <w:sz w:val="24"/>
          <w:szCs w:val="24"/>
        </w:rPr>
      </w:pPr>
    </w:p>
    <w:p w:rsidR="00067851" w:rsidRPr="00A75828" w:rsidRDefault="00067851" w:rsidP="00A75828">
      <w:pPr>
        <w:jc w:val="both"/>
        <w:rPr>
          <w:rFonts w:ascii="Times New Roman" w:hAnsi="Times New Roman"/>
          <w:b/>
          <w:bCs/>
          <w:sz w:val="24"/>
          <w:szCs w:val="24"/>
        </w:rPr>
      </w:pPr>
      <w:r w:rsidRPr="00A75828">
        <w:rPr>
          <w:rFonts w:ascii="Times New Roman" w:hAnsi="Times New Roman"/>
          <w:b/>
          <w:bCs/>
          <w:sz w:val="24"/>
          <w:szCs w:val="24"/>
        </w:rPr>
        <w:t>METODE</w:t>
      </w:r>
    </w:p>
    <w:p w:rsidR="00067851" w:rsidRPr="00A75828" w:rsidRDefault="00067851" w:rsidP="00A75828">
      <w:pPr>
        <w:jc w:val="both"/>
        <w:rPr>
          <w:rFonts w:ascii="Times New Roman" w:hAnsi="Times New Roman"/>
          <w:sz w:val="24"/>
          <w:szCs w:val="24"/>
        </w:rPr>
      </w:pPr>
      <w:r w:rsidRPr="00A75828">
        <w:rPr>
          <w:rFonts w:ascii="Times New Roman" w:hAnsi="Times New Roman"/>
          <w:b/>
          <w:bCs/>
          <w:sz w:val="24"/>
          <w:szCs w:val="24"/>
        </w:rPr>
        <w:tab/>
      </w:r>
      <w:r w:rsidRPr="00A75828">
        <w:rPr>
          <w:rFonts w:ascii="Times New Roman" w:hAnsi="Times New Roman"/>
          <w:sz w:val="24"/>
          <w:szCs w:val="24"/>
        </w:rPr>
        <w:t xml:space="preserve">Penelitian ini menggunakan metode normative empiris yaitu menganalisis data pada objek penelitian dengan cara melakukan pengumpulan data serta wawancara. Penelitian ini dilakukan di PT Dharmaputra Jaya Bersama pada bidang property dengan kantor pemasaran berlokasi di Jalan Padat Karya Perumahan Griya Srimulya Blok H Nomor 17. Ruang lingkup penelitian ini untuk memahami hak dan kewajiban konsumen dalam perjanjian jual beli rumah melalui fasilitas kredit bank. Jenis data yang digunakan dalam penelitian ini menggunakan bahan hukum yaitu bahan hukum primer, bahan hukum sekunder, dan bahan hukum tersier </w:t>
      </w:r>
      <w:sdt>
        <w:sdtPr>
          <w:rPr>
            <w:rFonts w:ascii="Times New Roman" w:hAnsi="Times New Roman"/>
            <w:sz w:val="24"/>
            <w:szCs w:val="24"/>
          </w:rPr>
          <w:id w:val="1441954977"/>
          <w:citation/>
        </w:sdtPr>
        <w:sdtEndPr/>
        <w:sdtContent>
          <w:r w:rsidRPr="00A75828">
            <w:rPr>
              <w:rFonts w:ascii="Times New Roman" w:hAnsi="Times New Roman"/>
              <w:sz w:val="24"/>
              <w:szCs w:val="24"/>
            </w:rPr>
            <w:fldChar w:fldCharType="begin"/>
          </w:r>
          <w:r w:rsidRPr="00A75828">
            <w:rPr>
              <w:rFonts w:ascii="Times New Roman" w:hAnsi="Times New Roman"/>
              <w:sz w:val="24"/>
              <w:szCs w:val="24"/>
            </w:rPr>
            <w:instrText xml:space="preserve"> CITATION Muh22 \l 1033 </w:instrText>
          </w:r>
          <w:r w:rsidRPr="00A75828">
            <w:rPr>
              <w:rFonts w:ascii="Times New Roman" w:hAnsi="Times New Roman"/>
              <w:sz w:val="24"/>
              <w:szCs w:val="24"/>
            </w:rPr>
            <w:fldChar w:fldCharType="separate"/>
          </w:r>
          <w:r w:rsidRPr="00A75828">
            <w:rPr>
              <w:rFonts w:ascii="Times New Roman" w:hAnsi="Times New Roman"/>
              <w:noProof/>
              <w:sz w:val="24"/>
              <w:szCs w:val="24"/>
            </w:rPr>
            <w:t>(Tohir, 2022)</w:t>
          </w:r>
          <w:r w:rsidRPr="00A75828">
            <w:rPr>
              <w:rFonts w:ascii="Times New Roman" w:hAnsi="Times New Roman"/>
              <w:sz w:val="24"/>
              <w:szCs w:val="24"/>
            </w:rPr>
            <w:fldChar w:fldCharType="end"/>
          </w:r>
        </w:sdtContent>
      </w:sdt>
      <w:r w:rsidRPr="00A75828">
        <w:rPr>
          <w:rFonts w:ascii="Times New Roman" w:hAnsi="Times New Roman"/>
          <w:sz w:val="24"/>
          <w:szCs w:val="24"/>
        </w:rPr>
        <w:t>. Teknik pengumpulan data seperti riset lapangan, wawancara dan dokumentasi. Teknik analisis data yang digunakan pada penelitian ini adalah analisis kualitatif dengan menganalisis dan mengolah data untuk mendapatkan korelasi yang ada.</w:t>
      </w:r>
    </w:p>
    <w:p w:rsidR="00067851" w:rsidRPr="00A75828" w:rsidRDefault="00067851" w:rsidP="00A75828">
      <w:pPr>
        <w:jc w:val="both"/>
        <w:rPr>
          <w:rFonts w:ascii="Times New Roman" w:hAnsi="Times New Roman"/>
          <w:b/>
          <w:bCs/>
          <w:sz w:val="24"/>
          <w:szCs w:val="24"/>
        </w:rPr>
      </w:pPr>
      <w:r w:rsidRPr="00A75828">
        <w:rPr>
          <w:rFonts w:ascii="Times New Roman" w:hAnsi="Times New Roman"/>
          <w:b/>
          <w:bCs/>
          <w:sz w:val="24"/>
          <w:szCs w:val="24"/>
        </w:rPr>
        <w:lastRenderedPageBreak/>
        <w:t>HASIL DAN PEMBAHASAN</w:t>
      </w:r>
    </w:p>
    <w:p w:rsidR="00067851" w:rsidRPr="00A75828" w:rsidRDefault="00067851" w:rsidP="00A75828">
      <w:pPr>
        <w:spacing w:after="0"/>
        <w:jc w:val="both"/>
        <w:rPr>
          <w:rFonts w:ascii="Times New Roman" w:hAnsi="Times New Roman"/>
          <w:sz w:val="24"/>
          <w:szCs w:val="24"/>
        </w:rPr>
      </w:pPr>
      <w:r w:rsidRPr="00A75828">
        <w:rPr>
          <w:rFonts w:ascii="Times New Roman" w:hAnsi="Times New Roman"/>
          <w:b/>
          <w:bCs/>
          <w:sz w:val="24"/>
          <w:szCs w:val="24"/>
        </w:rPr>
        <w:t>Pelaksanaan Perjanjian Jual Beli Perumahan Melalui Pembiayaan Bank Pada Proyek Riyanda Residence</w:t>
      </w:r>
      <w:r w:rsidRPr="00A75828">
        <w:rPr>
          <w:rFonts w:ascii="Times New Roman" w:hAnsi="Times New Roman"/>
          <w:sz w:val="24"/>
          <w:szCs w:val="24"/>
        </w:rPr>
        <w:tab/>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 xml:space="preserve">Jual beli termasuk dalam kelompok perjanjian bernama, artinya undang-undang telah memberikan nama tersendiri dan memberikan pengaturan secara khusus terhadap perjanjian ini. Pengaturan perjanjian bernama dapat diatur dalam Kitab Undang-Undang Hukum Perdata maupun Kitab Undang-Undang Hukum Dagang. </w:t>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Hukum yang mengatur masalah perbankan disebut hukum perbankan (</w:t>
      </w:r>
      <w:r w:rsidRPr="00A75828">
        <w:rPr>
          <w:rFonts w:ascii="Times New Roman" w:hAnsi="Times New Roman"/>
          <w:i/>
          <w:iCs/>
          <w:sz w:val="24"/>
          <w:szCs w:val="24"/>
          <w:lang w:val="en-ID"/>
        </w:rPr>
        <w:t>banking law</w:t>
      </w:r>
      <w:r w:rsidRPr="00A75828">
        <w:rPr>
          <w:rFonts w:ascii="Times New Roman" w:hAnsi="Times New Roman"/>
          <w:sz w:val="24"/>
          <w:szCs w:val="24"/>
          <w:lang w:val="en-ID"/>
        </w:rPr>
        <w:t>) yakni serangkaian ketentuan hukum positif yang masih berlaku sampai saat ini baik dalam bentuk peraturan perundang-undangan, yurisprudensi, doktrin, dan lain-lain yang mengatur masalah-masalah perbankan sebagai lembaga, dan aspek kegiatannya sehari-hari, rambu-rambu yang harus dipenuhi oleh suatu bank, perilaku petugas-petugasnya, hak, kewajiban, tugas dan tanggung jawab para pihak yang tersangkut dengan bisnis perbankan, apa yang boleh dan tidak boleh dilakukan oleh bank, eksistensi perbankan, dan lain-lain yang berkenaan dengan dunia perbankan tersebut.</w:t>
      </w:r>
    </w:p>
    <w:p w:rsidR="00067851" w:rsidRPr="00A75828" w:rsidRDefault="00067851" w:rsidP="00A75828">
      <w:pPr>
        <w:spacing w:after="0"/>
        <w:ind w:firstLine="720"/>
        <w:jc w:val="both"/>
        <w:rPr>
          <w:rFonts w:ascii="Times New Roman" w:hAnsi="Times New Roman"/>
          <w:sz w:val="24"/>
          <w:szCs w:val="24"/>
        </w:rPr>
      </w:pPr>
      <w:r w:rsidRPr="00A75828">
        <w:rPr>
          <w:rFonts w:ascii="Times New Roman" w:hAnsi="Times New Roman"/>
          <w:sz w:val="24"/>
          <w:szCs w:val="24"/>
        </w:rPr>
        <w:t>Berdasarkan surat perjanjian kerjasama antara pihak Bank yang telah mendapatkan persetujuan Menteri Hukum dan Hak Asasi Manusia Republik Indonesia berdasarkan surat Nomor AHU-AH.01.03-0284522 tanggal 29 Mei 2019 sebagai penyediaan fasilitas KPR subsidi disebut “PIHAK PERTAMA” dan pemilik proyek perumahan Riyanda Residence PT Dharmaputra Jaya Bersama akta Nomor 04 Tanggal 15 agustus 2018 pengesahaan KEMENKUMHAM Nomor AHU-0038925.AH.0101 Tahun 2018 disebut “PIHAK KEDUA”.</w:t>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Terkait dalam perihal Surat Penegasan Persetujuan Pemberian Kredit (SP3K) terhadap surat permohonan yang diajukan konsumen untuk kepemilikan rumah KPR Subsidi, dalam hal ini pihak bank menyetujui permohonan tersebut dengan diberikan pada konsumen satu unit rumah di proyek pembangunan Perumahan Riyanda Residence yang isinya ditentukan oleh pihak bank sesuai dengan peraturan bank yang telah ditetapkan seperti jangka waktu, suku bunga, biaya administrasi dan denda.</w:t>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Dengan adanya perjanjian para pihak-pihak diatas maka ditentukan bentuk kontraknya dalam arti bebas untuk mengadakan perjanjian yang ditentukan oleh pihak-pihak berdasarkan asas kebebasan berkontrak dapat dianalisis dalam ketentuan Pasal 1338 ayat (1) KUHPerdata yang menyebutkan semua perjanjian yang dibuat secara sah berlaku sebagai undang-undang bagi mereka yang membuatnya.</w:t>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Bank mengirimkan surat peringatan terhadap debitur sebagai pembeli perumahan Riyanda Residence untuk keterlambatan pembayaran kredit sesuai dengan ketentuan perjanjian awal surat peringatan kepada debitur yang menunggak pembayaran kredit KPR melalui 3 tahap. Akan diberikan surat peringatan pertama sampai surat peringatan ketiga.</w:t>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 xml:space="preserve">Bank juga menyediakan produk-produk berupa penerimaan simpanan dan pemberian kredit. Simpanan dapat ditarik nasabah setiap saat sesuai dengan kebutuhan atau kepentingan </w:t>
      </w:r>
      <w:r w:rsidRPr="00A75828">
        <w:rPr>
          <w:rFonts w:ascii="Times New Roman" w:hAnsi="Times New Roman"/>
          <w:sz w:val="24"/>
          <w:szCs w:val="24"/>
          <w:lang w:val="en-ID"/>
        </w:rPr>
        <w:lastRenderedPageBreak/>
        <w:t xml:space="preserve">nasabah tersebut, sedangkan piutang bank hanya dapat ditagih oleh bank berdasarkan jangka waktu tertentu, sehingga apabila terjadi krisis kepercayaan, maka dapat terjadi bank tersebut kekurangan dana. </w:t>
      </w:r>
    </w:p>
    <w:p w:rsidR="00067851" w:rsidRPr="00A75828" w:rsidRDefault="00067851" w:rsidP="00A75828">
      <w:pPr>
        <w:spacing w:after="0"/>
        <w:ind w:firstLine="720"/>
        <w:jc w:val="both"/>
        <w:rPr>
          <w:rFonts w:ascii="Times New Roman" w:hAnsi="Times New Roman"/>
          <w:sz w:val="24"/>
          <w:szCs w:val="24"/>
          <w:lang w:val="en-ID"/>
        </w:rPr>
      </w:pPr>
      <w:r w:rsidRPr="00A75828">
        <w:rPr>
          <w:rFonts w:ascii="Times New Roman" w:hAnsi="Times New Roman"/>
          <w:sz w:val="24"/>
          <w:szCs w:val="24"/>
          <w:lang w:val="en-ID"/>
        </w:rPr>
        <w:t>Apabila terjadi perselisihan atau sengketa antara nasabah dengan bank. Oleh karena itu harus adanya perlindungan nasabah sangat berpengaruh bagi pihak developer dengan demikian menjadi tantangan bagi developer untuk menyelesaikan sengketa jual beli yang terjadi antara konsumen dengan bank sehingga pihak developer mengambil alih pembayaran cicilan kredit dengan perjanjian pada konsumen dalam hal penggantian dana talangan tersebut yang disebut hutang piutang, apabila terjadi wanprestasi maka pihak konsumen harus menerima akibat hukum yakni diambil alih lagi unit rumah yang dibeli untuk diserahkan ke pihak developer kembali dengan perjanjian surat kuasa menjual.</w:t>
      </w:r>
    </w:p>
    <w:p w:rsidR="00067851" w:rsidRPr="00A75828" w:rsidRDefault="00067851" w:rsidP="00A75828">
      <w:pPr>
        <w:spacing w:after="0"/>
        <w:jc w:val="both"/>
        <w:rPr>
          <w:rFonts w:ascii="Times New Roman" w:hAnsi="Times New Roman"/>
          <w:sz w:val="24"/>
          <w:szCs w:val="24"/>
          <w:lang w:val="en-ID"/>
        </w:rPr>
      </w:pPr>
    </w:p>
    <w:p w:rsidR="00067851" w:rsidRPr="00A75828" w:rsidRDefault="00067851" w:rsidP="00A75828">
      <w:pPr>
        <w:spacing w:after="0"/>
        <w:jc w:val="both"/>
        <w:rPr>
          <w:rFonts w:ascii="Times New Roman" w:hAnsi="Times New Roman"/>
          <w:b/>
          <w:bCs/>
          <w:sz w:val="24"/>
          <w:szCs w:val="24"/>
          <w:lang w:val="en-ID"/>
        </w:rPr>
      </w:pPr>
      <w:r w:rsidRPr="00A75828">
        <w:rPr>
          <w:rFonts w:ascii="Times New Roman" w:hAnsi="Times New Roman"/>
          <w:b/>
          <w:bCs/>
          <w:sz w:val="24"/>
          <w:szCs w:val="24"/>
          <w:lang w:val="en-ID"/>
        </w:rPr>
        <w:t>Hambatan Dalam Pelaksanaan Perjanjian Jual Beli Pihak Konsumen Dan Pihak Bank</w:t>
      </w:r>
    </w:p>
    <w:p w:rsidR="00067851" w:rsidRPr="00A75828" w:rsidRDefault="00067851" w:rsidP="00A75828">
      <w:pPr>
        <w:spacing w:after="0"/>
        <w:ind w:firstLine="709"/>
        <w:jc w:val="both"/>
        <w:rPr>
          <w:rFonts w:ascii="Times New Roman" w:hAnsi="Times New Roman"/>
          <w:sz w:val="24"/>
          <w:szCs w:val="24"/>
          <w:lang w:val="en-ID"/>
        </w:rPr>
      </w:pPr>
      <w:r w:rsidRPr="00A75828">
        <w:rPr>
          <w:rFonts w:ascii="Times New Roman" w:hAnsi="Times New Roman"/>
          <w:sz w:val="24"/>
          <w:szCs w:val="24"/>
          <w:lang w:val="en-ID"/>
        </w:rPr>
        <w:t>Persyaratan Administrasi dan Legalitas Dokumen banyak dokumen yang harus dipenuhi oleh konsumen, seperti identitas diri, slip gaji, surat pernyataan, dan lain-lain sebagai persyaratan yang harus dipenuhi berdasarkan aturan pihak bank. Hambatan yang terjadi secara yuridis seperti:</w:t>
      </w:r>
    </w:p>
    <w:p w:rsidR="00067851" w:rsidRPr="00A75828" w:rsidRDefault="00067851" w:rsidP="00A75828">
      <w:pPr>
        <w:numPr>
          <w:ilvl w:val="0"/>
          <w:numId w:val="25"/>
        </w:numPr>
        <w:spacing w:after="0"/>
        <w:ind w:left="426"/>
        <w:jc w:val="both"/>
        <w:rPr>
          <w:rFonts w:ascii="Times New Roman" w:hAnsi="Times New Roman"/>
          <w:sz w:val="24"/>
          <w:szCs w:val="24"/>
          <w:lang w:val="en-ID"/>
        </w:rPr>
      </w:pPr>
      <w:r w:rsidRPr="00A75828">
        <w:rPr>
          <w:rFonts w:ascii="Times New Roman" w:hAnsi="Times New Roman"/>
          <w:sz w:val="24"/>
          <w:szCs w:val="24"/>
          <w:lang w:val="en-ID"/>
        </w:rPr>
        <w:t>Konsumen tidak dapat memenuhi persyaratan administrasi yang ketat atau jika ada ketidakcocokan dalam dokumen seperti kartu identitas tidak mendukung proses pengajuan karena telah di-</w:t>
      </w:r>
      <w:r w:rsidRPr="00A75828">
        <w:rPr>
          <w:rFonts w:ascii="Times New Roman" w:hAnsi="Times New Roman"/>
          <w:i/>
          <w:iCs/>
          <w:sz w:val="24"/>
          <w:szCs w:val="24"/>
          <w:lang w:val="en-ID"/>
        </w:rPr>
        <w:t>blacklist</w:t>
      </w:r>
      <w:r w:rsidRPr="00A75828">
        <w:rPr>
          <w:rFonts w:ascii="Times New Roman" w:hAnsi="Times New Roman"/>
          <w:sz w:val="24"/>
          <w:szCs w:val="24"/>
          <w:lang w:val="en-ID"/>
        </w:rPr>
        <w:t xml:space="preserve"> adanya permasalahan keuangan lainnya.</w:t>
      </w:r>
    </w:p>
    <w:p w:rsidR="00067851" w:rsidRPr="00A75828" w:rsidRDefault="00067851" w:rsidP="00A75828">
      <w:pPr>
        <w:numPr>
          <w:ilvl w:val="0"/>
          <w:numId w:val="25"/>
        </w:numPr>
        <w:spacing w:after="0"/>
        <w:ind w:left="426"/>
        <w:jc w:val="both"/>
        <w:rPr>
          <w:rFonts w:ascii="Times New Roman" w:hAnsi="Times New Roman"/>
          <w:sz w:val="24"/>
          <w:szCs w:val="24"/>
          <w:lang w:val="en-ID"/>
        </w:rPr>
      </w:pPr>
      <w:r w:rsidRPr="00A75828">
        <w:rPr>
          <w:rFonts w:ascii="Times New Roman" w:hAnsi="Times New Roman"/>
          <w:sz w:val="24"/>
          <w:szCs w:val="24"/>
          <w:lang w:val="en-ID"/>
        </w:rPr>
        <w:t>Peraturan yang ditentukan oleh pihak bank berlaku secara sepihak sehingga konsumen ataupun nasabah harus patuh pada peraturan yang diberlakukan oleh pihak bank, perjanjian sepihak seperti peraturan yang ditetapkan oleh pihak bank contohnya adanya kenaikan suku bunga yang ditentukan pihak bank itu sendiri sehingga konsumen tidak bisa mengajukan keringanan bunga apabila terjadi keterlambatan dalam pembayaran cicilan.</w:t>
      </w:r>
    </w:p>
    <w:p w:rsidR="00067851" w:rsidRPr="00A75828" w:rsidRDefault="00067851" w:rsidP="00A75828">
      <w:pPr>
        <w:numPr>
          <w:ilvl w:val="0"/>
          <w:numId w:val="25"/>
        </w:numPr>
        <w:spacing w:after="0"/>
        <w:ind w:left="426"/>
        <w:jc w:val="both"/>
        <w:rPr>
          <w:rFonts w:ascii="Times New Roman" w:hAnsi="Times New Roman"/>
          <w:sz w:val="24"/>
          <w:szCs w:val="24"/>
          <w:lang w:val="en-ID"/>
        </w:rPr>
      </w:pPr>
      <w:r w:rsidRPr="00A75828">
        <w:rPr>
          <w:rFonts w:ascii="Times New Roman" w:hAnsi="Times New Roman"/>
          <w:sz w:val="24"/>
          <w:szCs w:val="24"/>
          <w:lang w:val="en-ID"/>
        </w:rPr>
        <w:t>Adanya aturan dan regulasi perbankan yang terus berubah juga bisa membingungkan konsumen sehingga konsumen tidak bisa protes akan peraturan yang ditetapkan bank karena telah menandatangani persetujuan di awal.</w:t>
      </w:r>
    </w:p>
    <w:p w:rsidR="00067851" w:rsidRPr="00A75828" w:rsidRDefault="00067851" w:rsidP="00A75828">
      <w:pPr>
        <w:spacing w:after="0"/>
        <w:ind w:firstLine="654"/>
        <w:jc w:val="both"/>
        <w:rPr>
          <w:rFonts w:ascii="Times New Roman" w:hAnsi="Times New Roman"/>
          <w:sz w:val="24"/>
          <w:szCs w:val="24"/>
          <w:lang w:val="en-ID"/>
        </w:rPr>
      </w:pPr>
      <w:r w:rsidRPr="00A75828">
        <w:rPr>
          <w:rFonts w:ascii="Times New Roman" w:hAnsi="Times New Roman"/>
          <w:sz w:val="24"/>
          <w:szCs w:val="24"/>
          <w:lang w:val="en-ID"/>
        </w:rPr>
        <w:t>Banyak konsumen yang kurang memahami produk perbankan, termasuk mekanisme pembiayaan dan kredit. Kemampuan keuangan yang rendah dapat menyebabkan ketidakmampuan untuk membuat keputusan finansial yang tepat. Adapun hambatan yang terjadi secara sosiologis seperti:</w:t>
      </w:r>
    </w:p>
    <w:p w:rsidR="00067851" w:rsidRPr="00A75828" w:rsidRDefault="00067851" w:rsidP="00A75828">
      <w:pPr>
        <w:pStyle w:val="ListParagraph"/>
        <w:numPr>
          <w:ilvl w:val="0"/>
          <w:numId w:val="26"/>
        </w:numPr>
        <w:spacing w:after="0" w:line="276" w:lineRule="auto"/>
        <w:ind w:left="426"/>
        <w:jc w:val="both"/>
        <w:rPr>
          <w:rFonts w:ascii="Times New Roman" w:hAnsi="Times New Roman" w:cs="Times New Roman"/>
          <w:sz w:val="24"/>
          <w:szCs w:val="24"/>
          <w:lang w:val="en-ID"/>
        </w:rPr>
      </w:pPr>
      <w:r w:rsidRPr="00A75828">
        <w:rPr>
          <w:rFonts w:ascii="Times New Roman" w:hAnsi="Times New Roman" w:cs="Times New Roman"/>
          <w:sz w:val="24"/>
          <w:szCs w:val="24"/>
          <w:lang w:val="en-ID"/>
        </w:rPr>
        <w:t xml:space="preserve">Ketidakpercayaan terhadap bank bisa berasal dari pengalaman buruk masa lalu, berita tentang skandal perbankan, atau persepsi negatif tentang biaya dan suku bunga tinggi, contohnya pada produk perbankan ditentukan peraturan penambahan bunga serta adanya biaya denda yang harus dibayar dengan perhitungan yang ditentukan oleh bank itu sendiri. </w:t>
      </w:r>
    </w:p>
    <w:p w:rsidR="00067851" w:rsidRPr="00A75828" w:rsidRDefault="00067851" w:rsidP="00A75828">
      <w:pPr>
        <w:pStyle w:val="ListParagraph"/>
        <w:numPr>
          <w:ilvl w:val="0"/>
          <w:numId w:val="26"/>
        </w:numPr>
        <w:spacing w:after="0" w:line="276" w:lineRule="auto"/>
        <w:ind w:left="426"/>
        <w:jc w:val="both"/>
        <w:rPr>
          <w:rFonts w:ascii="Times New Roman" w:hAnsi="Times New Roman" w:cs="Times New Roman"/>
          <w:sz w:val="24"/>
          <w:szCs w:val="24"/>
          <w:lang w:val="en-ID"/>
        </w:rPr>
      </w:pPr>
      <w:r w:rsidRPr="00A75828">
        <w:rPr>
          <w:rFonts w:ascii="Times New Roman" w:hAnsi="Times New Roman" w:cs="Times New Roman"/>
          <w:sz w:val="24"/>
          <w:szCs w:val="24"/>
          <w:lang w:val="en-ID"/>
        </w:rPr>
        <w:t>Banyak konsumen yang kurang memahami proses jual beli rumah, termasuk prosedur kredit perumahan dari bank. Ketidaktahuan ini dapat menghambat mereka dalam mengambil keputusan yang tepat.</w:t>
      </w:r>
    </w:p>
    <w:p w:rsidR="00067851" w:rsidRPr="00A75828" w:rsidRDefault="00067851" w:rsidP="00A75828">
      <w:pPr>
        <w:pStyle w:val="ListParagraph"/>
        <w:numPr>
          <w:ilvl w:val="0"/>
          <w:numId w:val="26"/>
        </w:numPr>
        <w:spacing w:after="0" w:line="276" w:lineRule="auto"/>
        <w:ind w:left="426"/>
        <w:jc w:val="both"/>
        <w:rPr>
          <w:rFonts w:ascii="Times New Roman" w:hAnsi="Times New Roman" w:cs="Times New Roman"/>
          <w:sz w:val="24"/>
          <w:szCs w:val="24"/>
          <w:lang w:val="en-ID"/>
        </w:rPr>
      </w:pPr>
      <w:r w:rsidRPr="00A75828">
        <w:rPr>
          <w:rFonts w:ascii="Times New Roman" w:hAnsi="Times New Roman" w:cs="Times New Roman"/>
          <w:sz w:val="24"/>
          <w:szCs w:val="24"/>
          <w:lang w:val="en-ID"/>
        </w:rPr>
        <w:lastRenderedPageBreak/>
        <w:t>Informasi yang tidak jelas atau tidak lengkap dari pihak bank atau agen properti juga dapat menjadi penghalang, untuk pembuatan daftar nasabah dengan cetak buku tabungan tetapi terkendala dana.</w:t>
      </w:r>
    </w:p>
    <w:p w:rsidR="00067851" w:rsidRPr="00A75828" w:rsidRDefault="00067851" w:rsidP="00A75828">
      <w:pPr>
        <w:spacing w:after="0"/>
        <w:ind w:firstLine="567"/>
        <w:jc w:val="both"/>
        <w:rPr>
          <w:rFonts w:ascii="Times New Roman" w:hAnsi="Times New Roman"/>
          <w:sz w:val="24"/>
          <w:szCs w:val="24"/>
          <w:lang w:val="en-ID"/>
        </w:rPr>
      </w:pPr>
      <w:r w:rsidRPr="00A75828">
        <w:rPr>
          <w:rFonts w:ascii="Times New Roman" w:hAnsi="Times New Roman"/>
          <w:sz w:val="24"/>
          <w:szCs w:val="24"/>
          <w:lang w:val="en-ID"/>
        </w:rPr>
        <w:t>Hambatan pelaksanaan perjanjian jual beli secara filosofis dilihat dari masyarakat tidak memahami bahwa dengan adanya KPR Subsidi dari pemerintah dapat membantu mempermudah memiliki tempat tinggal atau rumah dengan cara kredit bertahap. Subsidi pemerintah sebenarnya membantu dalam pembiayaan administrasi yang harus diselesaikan di bank untuk kepemilikan satu unit rumah. Selain kepemilikan atas hak rumah manfaat dengan adanya KPR Subsidi ini menjamin keamanan atas legalitas surat-surat yang sah yang ditegaskan oleh pihak bank terhadap pihak developer seperti pengurusan-pengurusan legalitas surat:</w:t>
      </w:r>
    </w:p>
    <w:p w:rsidR="00067851" w:rsidRPr="00A75828" w:rsidRDefault="00067851" w:rsidP="00A75828">
      <w:pPr>
        <w:pStyle w:val="ListParagraph"/>
        <w:numPr>
          <w:ilvl w:val="0"/>
          <w:numId w:val="27"/>
        </w:numPr>
        <w:spacing w:after="0" w:line="276" w:lineRule="auto"/>
        <w:ind w:left="426"/>
        <w:jc w:val="both"/>
        <w:rPr>
          <w:rFonts w:ascii="Times New Roman" w:hAnsi="Times New Roman" w:cs="Times New Roman"/>
          <w:sz w:val="24"/>
          <w:szCs w:val="24"/>
          <w:lang w:val="en-ID"/>
        </w:rPr>
      </w:pPr>
      <w:r w:rsidRPr="00A75828">
        <w:rPr>
          <w:rFonts w:ascii="Times New Roman" w:hAnsi="Times New Roman" w:cs="Times New Roman"/>
          <w:sz w:val="24"/>
          <w:szCs w:val="24"/>
          <w:lang w:val="en-ID"/>
        </w:rPr>
        <w:t>Sertifikat Hak Milik (SHM).</w:t>
      </w:r>
    </w:p>
    <w:p w:rsidR="00067851" w:rsidRPr="00A75828" w:rsidRDefault="00067851" w:rsidP="00A75828">
      <w:pPr>
        <w:pStyle w:val="ListParagraph"/>
        <w:numPr>
          <w:ilvl w:val="0"/>
          <w:numId w:val="27"/>
        </w:numPr>
        <w:spacing w:after="0" w:line="276" w:lineRule="auto"/>
        <w:ind w:left="426"/>
        <w:jc w:val="both"/>
        <w:rPr>
          <w:rFonts w:ascii="Times New Roman" w:hAnsi="Times New Roman" w:cs="Times New Roman"/>
          <w:sz w:val="24"/>
          <w:szCs w:val="24"/>
          <w:lang w:val="en-ID"/>
        </w:rPr>
      </w:pPr>
      <w:r w:rsidRPr="00A75828">
        <w:rPr>
          <w:rFonts w:ascii="Times New Roman" w:hAnsi="Times New Roman" w:cs="Times New Roman"/>
          <w:sz w:val="24"/>
          <w:szCs w:val="24"/>
          <w:lang w:val="en-ID"/>
        </w:rPr>
        <w:t>Perizinan Bangunan Gedung (PBG).</w:t>
      </w:r>
    </w:p>
    <w:p w:rsidR="00067851" w:rsidRPr="00A75828" w:rsidRDefault="00067851" w:rsidP="00A75828">
      <w:pPr>
        <w:pStyle w:val="ListParagraph"/>
        <w:numPr>
          <w:ilvl w:val="0"/>
          <w:numId w:val="27"/>
        </w:numPr>
        <w:spacing w:after="0" w:line="276" w:lineRule="auto"/>
        <w:ind w:left="426"/>
        <w:jc w:val="both"/>
        <w:rPr>
          <w:rFonts w:ascii="Times New Roman" w:hAnsi="Times New Roman" w:cs="Times New Roman"/>
          <w:sz w:val="24"/>
          <w:szCs w:val="24"/>
          <w:lang w:val="en-ID"/>
        </w:rPr>
      </w:pPr>
      <w:r w:rsidRPr="00A75828">
        <w:rPr>
          <w:rFonts w:ascii="Times New Roman" w:hAnsi="Times New Roman" w:cs="Times New Roman"/>
          <w:sz w:val="24"/>
          <w:szCs w:val="24"/>
          <w:lang w:val="en-ID"/>
        </w:rPr>
        <w:t>Tersedianya fasilitas umum yang disediakan oleh pihak developer yakni adanya perluasan jalan, adanya fasilitas jaringan listrik baru dan fasilitas jaringan air minum bersih.</w:t>
      </w:r>
    </w:p>
    <w:p w:rsidR="00067851" w:rsidRPr="00A75828" w:rsidRDefault="00067851" w:rsidP="00A75828">
      <w:pPr>
        <w:spacing w:after="0"/>
        <w:ind w:left="66"/>
        <w:jc w:val="both"/>
        <w:rPr>
          <w:rFonts w:ascii="Times New Roman" w:hAnsi="Times New Roman"/>
          <w:sz w:val="24"/>
          <w:szCs w:val="24"/>
          <w:lang w:val="en-ID"/>
        </w:rPr>
      </w:pPr>
    </w:p>
    <w:p w:rsidR="00067851" w:rsidRPr="00A75828" w:rsidRDefault="00067851" w:rsidP="00A75828">
      <w:pPr>
        <w:jc w:val="both"/>
        <w:rPr>
          <w:rFonts w:ascii="Times New Roman" w:hAnsi="Times New Roman"/>
          <w:b/>
          <w:bCs/>
          <w:sz w:val="24"/>
          <w:szCs w:val="24"/>
        </w:rPr>
      </w:pPr>
      <w:r w:rsidRPr="00A75828">
        <w:rPr>
          <w:rFonts w:ascii="Times New Roman" w:hAnsi="Times New Roman"/>
          <w:b/>
          <w:bCs/>
          <w:sz w:val="24"/>
          <w:szCs w:val="24"/>
        </w:rPr>
        <w:t>SIMPULAN DAN SARAN</w:t>
      </w:r>
    </w:p>
    <w:p w:rsidR="00067851" w:rsidRPr="00A75828" w:rsidRDefault="00067851" w:rsidP="00A75828">
      <w:pPr>
        <w:spacing w:after="0"/>
        <w:jc w:val="both"/>
        <w:rPr>
          <w:rFonts w:ascii="Times New Roman" w:hAnsi="Times New Roman"/>
          <w:sz w:val="24"/>
          <w:szCs w:val="24"/>
        </w:rPr>
      </w:pPr>
      <w:r w:rsidRPr="00A75828">
        <w:rPr>
          <w:rFonts w:ascii="Times New Roman" w:hAnsi="Times New Roman"/>
          <w:sz w:val="24"/>
          <w:szCs w:val="24"/>
        </w:rPr>
        <w:tab/>
        <w:t>Berdasarkan hasil dan pembahasan penelitian maka kesimpulan yang didapat adalah pengaturan penyelesaian sengketa perjanjian jual beli perumahan melalui bank pada proyek Riyanda Residence berdasarkan Pasal 1338 KUHPerdata, UU Pembiayaan dan perjanjian para pihak yaitu melalui peringatan bank, penyelesaian melalui pihak developer serta penyelesaian dengan pihak konsumen dengan mediasi. Hambatan dalam pelaksanaan perjanjian jual beli oleh pihak konsumen terhadap pihak bank adalah secara yuridis bahwa peraturan harus dipatuhi secara sepihak, secara sosiologis bahwa konsumen tidak memahami aturan pembiayaan, dan secara filosofis bahwa konsumen tidak memahami adanya manfaat pembiayaan untuk mempermudah mendapat rumah.</w:t>
      </w:r>
    </w:p>
    <w:p w:rsidR="00067851" w:rsidRPr="00A75828" w:rsidRDefault="00067851" w:rsidP="00A75828">
      <w:pPr>
        <w:jc w:val="both"/>
        <w:rPr>
          <w:rFonts w:ascii="Times New Roman" w:hAnsi="Times New Roman"/>
          <w:sz w:val="24"/>
          <w:szCs w:val="24"/>
        </w:rPr>
      </w:pPr>
      <w:r w:rsidRPr="00A75828">
        <w:rPr>
          <w:rFonts w:ascii="Times New Roman" w:hAnsi="Times New Roman"/>
          <w:sz w:val="24"/>
          <w:szCs w:val="24"/>
        </w:rPr>
        <w:tab/>
        <w:t>Saran yang dapat Peneliti berikan adalah agar peraturan pembiayaan harus memihak ke masyarakat atau konsumen serta agar pemerintah memberikan sosialisasi pada masyarakat menyenai aturan-aturan pembiayaan KPR Subsidi.</w:t>
      </w:r>
    </w:p>
    <w:sdt>
      <w:sdtPr>
        <w:id w:val="-103892332"/>
        <w:docPartObj>
          <w:docPartGallery w:val="Bibliographies"/>
          <w:docPartUnique/>
        </w:docPartObj>
      </w:sdtPr>
      <w:sdtEndPr/>
      <w:sdtContent>
        <w:p w:rsidR="00067851" w:rsidRPr="00A75828" w:rsidRDefault="00067851" w:rsidP="00067851">
          <w:pPr>
            <w:spacing w:after="0"/>
            <w:jc w:val="both"/>
            <w:rPr>
              <w:rFonts w:ascii="Times New Roman" w:hAnsi="Times New Roman"/>
              <w:b/>
              <w:bCs/>
              <w:sz w:val="24"/>
              <w:szCs w:val="24"/>
            </w:rPr>
          </w:pPr>
          <w:r w:rsidRPr="00A75828">
            <w:rPr>
              <w:rFonts w:ascii="Times New Roman" w:hAnsi="Times New Roman"/>
              <w:b/>
              <w:bCs/>
              <w:sz w:val="24"/>
              <w:szCs w:val="24"/>
            </w:rPr>
            <w:t>DAFTAR PUSTAKA</w:t>
          </w:r>
        </w:p>
        <w:sdt>
          <w:sdtPr>
            <w:rPr>
              <w:rFonts w:ascii="Times New Roman" w:eastAsia="Calibri" w:hAnsi="Times New Roman" w:cs="Times New Roman"/>
              <w:sz w:val="24"/>
              <w:szCs w:val="24"/>
            </w:rPr>
            <w:id w:val="111145805"/>
            <w:bibliography/>
          </w:sdtPr>
          <w:sdtEndPr/>
          <w:sdtContent>
            <w:p w:rsidR="00067851" w:rsidRPr="00A75828" w:rsidRDefault="00067851" w:rsidP="00067851">
              <w:pPr>
                <w:pStyle w:val="Bibliography"/>
                <w:ind w:left="720" w:hanging="720"/>
                <w:rPr>
                  <w:rFonts w:ascii="Times New Roman" w:hAnsi="Times New Roman" w:cs="Times New Roman"/>
                  <w:noProof/>
                  <w:sz w:val="24"/>
                  <w:szCs w:val="24"/>
                </w:rPr>
              </w:pPr>
              <w:r w:rsidRPr="00A75828">
                <w:rPr>
                  <w:rFonts w:ascii="Times New Roman" w:hAnsi="Times New Roman" w:cs="Times New Roman"/>
                  <w:sz w:val="24"/>
                  <w:szCs w:val="24"/>
                </w:rPr>
                <w:fldChar w:fldCharType="begin"/>
              </w:r>
              <w:r w:rsidRPr="00A75828">
                <w:rPr>
                  <w:rFonts w:ascii="Times New Roman" w:hAnsi="Times New Roman" w:cs="Times New Roman"/>
                  <w:sz w:val="24"/>
                  <w:szCs w:val="24"/>
                </w:rPr>
                <w:instrText xml:space="preserve"> BIBLIOGRAPHY </w:instrText>
              </w:r>
              <w:r w:rsidRPr="00A75828">
                <w:rPr>
                  <w:rFonts w:ascii="Times New Roman" w:hAnsi="Times New Roman" w:cs="Times New Roman"/>
                  <w:sz w:val="24"/>
                  <w:szCs w:val="24"/>
                </w:rPr>
                <w:fldChar w:fldCharType="separate"/>
              </w:r>
              <w:r w:rsidRPr="00A75828">
                <w:rPr>
                  <w:rFonts w:ascii="Times New Roman" w:hAnsi="Times New Roman" w:cs="Times New Roman"/>
                  <w:noProof/>
                  <w:sz w:val="24"/>
                  <w:szCs w:val="24"/>
                </w:rPr>
                <w:t xml:space="preserve">Johnson et.al. (2023). </w:t>
              </w:r>
              <w:r w:rsidRPr="00A75828">
                <w:rPr>
                  <w:rFonts w:ascii="Times New Roman" w:hAnsi="Times New Roman" w:cs="Times New Roman"/>
                  <w:i/>
                  <w:iCs/>
                  <w:noProof/>
                  <w:sz w:val="24"/>
                  <w:szCs w:val="24"/>
                </w:rPr>
                <w:t>Journal of Real Estate Finance and Economics.</w:t>
              </w:r>
              <w:r w:rsidRPr="00A75828">
                <w:rPr>
                  <w:rFonts w:ascii="Times New Roman" w:hAnsi="Times New Roman" w:cs="Times New Roman"/>
                  <w:noProof/>
                  <w:sz w:val="24"/>
                  <w:szCs w:val="24"/>
                </w:rPr>
                <w:t xml:space="preserve"> </w:t>
              </w:r>
            </w:p>
            <w:p w:rsidR="00067851" w:rsidRPr="00A75828" w:rsidRDefault="00067851" w:rsidP="00067851">
              <w:pPr>
                <w:pStyle w:val="Bibliography"/>
                <w:ind w:left="720" w:hanging="720"/>
                <w:rPr>
                  <w:rFonts w:ascii="Times New Roman" w:hAnsi="Times New Roman" w:cs="Times New Roman"/>
                  <w:noProof/>
                  <w:sz w:val="24"/>
                  <w:szCs w:val="24"/>
                </w:rPr>
              </w:pPr>
              <w:r w:rsidRPr="00A75828">
                <w:rPr>
                  <w:rFonts w:ascii="Times New Roman" w:hAnsi="Times New Roman" w:cs="Times New Roman"/>
                  <w:noProof/>
                  <w:sz w:val="24"/>
                  <w:szCs w:val="24"/>
                </w:rPr>
                <w:t xml:space="preserve">Smith et.al. (2022). </w:t>
              </w:r>
              <w:r w:rsidRPr="00A75828">
                <w:rPr>
                  <w:rFonts w:ascii="Times New Roman" w:hAnsi="Times New Roman" w:cs="Times New Roman"/>
                  <w:i/>
                  <w:iCs/>
                  <w:noProof/>
                  <w:sz w:val="24"/>
                  <w:szCs w:val="24"/>
                </w:rPr>
                <w:t>International of Housing Market and Analysis.</w:t>
              </w:r>
              <w:r w:rsidRPr="00A75828">
                <w:rPr>
                  <w:rFonts w:ascii="Times New Roman" w:hAnsi="Times New Roman" w:cs="Times New Roman"/>
                  <w:noProof/>
                  <w:sz w:val="24"/>
                  <w:szCs w:val="24"/>
                </w:rPr>
                <w:t xml:space="preserve"> </w:t>
              </w:r>
            </w:p>
            <w:p w:rsidR="00067851" w:rsidRPr="00A75828" w:rsidRDefault="00067851" w:rsidP="00067851">
              <w:pPr>
                <w:pStyle w:val="Bibliography"/>
                <w:ind w:left="720" w:hanging="720"/>
                <w:rPr>
                  <w:rFonts w:ascii="Times New Roman" w:hAnsi="Times New Roman" w:cs="Times New Roman"/>
                  <w:noProof/>
                  <w:sz w:val="24"/>
                  <w:szCs w:val="24"/>
                </w:rPr>
              </w:pPr>
              <w:r w:rsidRPr="00A75828">
                <w:rPr>
                  <w:rFonts w:ascii="Times New Roman" w:hAnsi="Times New Roman" w:cs="Times New Roman"/>
                  <w:noProof/>
                  <w:sz w:val="24"/>
                  <w:szCs w:val="24"/>
                </w:rPr>
                <w:t xml:space="preserve">Tohir, M. (2022). </w:t>
              </w:r>
              <w:r w:rsidRPr="00A75828">
                <w:rPr>
                  <w:rFonts w:ascii="Times New Roman" w:hAnsi="Times New Roman" w:cs="Times New Roman"/>
                  <w:i/>
                  <w:iCs/>
                  <w:noProof/>
                  <w:sz w:val="24"/>
                  <w:szCs w:val="24"/>
                </w:rPr>
                <w:t>Penelurusan Bahan Hukum.</w:t>
              </w:r>
              <w:r w:rsidRPr="00A75828">
                <w:rPr>
                  <w:rFonts w:ascii="Times New Roman" w:hAnsi="Times New Roman" w:cs="Times New Roman"/>
                  <w:noProof/>
                  <w:sz w:val="24"/>
                  <w:szCs w:val="24"/>
                </w:rPr>
                <w:t xml:space="preserve"> Palembang: CV Auva Al Azzam.</w:t>
              </w:r>
            </w:p>
            <w:p w:rsidR="00067851" w:rsidRPr="004A14AE" w:rsidRDefault="00067851" w:rsidP="00067851">
              <w:pPr>
                <w:widowControl w:val="0"/>
                <w:tabs>
                  <w:tab w:val="left" w:pos="1418"/>
                </w:tabs>
                <w:autoSpaceDE w:val="0"/>
                <w:autoSpaceDN w:val="0"/>
                <w:spacing w:after="0" w:line="360" w:lineRule="auto"/>
                <w:jc w:val="both"/>
                <w:rPr>
                  <w:rFonts w:ascii="Times New Roman" w:eastAsiaTheme="minorHAnsi" w:hAnsi="Times New Roman"/>
                  <w:sz w:val="24"/>
                  <w:szCs w:val="24"/>
                  <w:u w:val="single"/>
                  <w:lang w:val="en-ID"/>
                </w:rPr>
              </w:pPr>
              <w:r w:rsidRPr="00A75828">
                <w:rPr>
                  <w:rFonts w:ascii="Times New Roman" w:hAnsi="Times New Roman"/>
                  <w:noProof/>
                  <w:sz w:val="24"/>
                  <w:szCs w:val="24"/>
                </w:rPr>
                <w:t xml:space="preserve">Urip, S. (2017). </w:t>
              </w:r>
              <w:r w:rsidRPr="00A75828">
                <w:rPr>
                  <w:rFonts w:ascii="Times New Roman" w:hAnsi="Times New Roman"/>
                  <w:i/>
                  <w:iCs/>
                  <w:noProof/>
                  <w:sz w:val="24"/>
                  <w:szCs w:val="24"/>
                </w:rPr>
                <w:t>Hukum Perumahan Edisi Pertama.</w:t>
              </w:r>
              <w:r w:rsidRPr="00A75828">
                <w:rPr>
                  <w:rFonts w:ascii="Times New Roman" w:hAnsi="Times New Roman"/>
                  <w:noProof/>
                  <w:sz w:val="24"/>
                  <w:szCs w:val="24"/>
                </w:rPr>
                <w:t xml:space="preserve"> Jakarta: Kencana Prenada Media Grup.</w:t>
              </w:r>
              <w:r w:rsidRPr="00A75828">
                <w:rPr>
                  <w:rFonts w:ascii="Times New Roman" w:hAnsi="Times New Roman"/>
                  <w:b/>
                  <w:bCs/>
                  <w:noProof/>
                  <w:sz w:val="24"/>
                  <w:szCs w:val="24"/>
                </w:rPr>
                <w:fldChar w:fldCharType="end"/>
              </w:r>
            </w:p>
          </w:sdtContent>
        </w:sdt>
      </w:sdtContent>
    </w:sdt>
    <w:p w:rsidR="004A14AE" w:rsidRPr="004A14AE" w:rsidRDefault="004A14AE" w:rsidP="00A75828">
      <w:pPr>
        <w:widowControl w:val="0"/>
        <w:autoSpaceDE w:val="0"/>
        <w:autoSpaceDN w:val="0"/>
        <w:spacing w:line="360" w:lineRule="auto"/>
        <w:contextualSpacing/>
        <w:jc w:val="both"/>
        <w:rPr>
          <w:rFonts w:ascii="Times New Roman" w:eastAsiaTheme="minorHAnsi" w:hAnsi="Times New Roman"/>
          <w:sz w:val="24"/>
          <w:szCs w:val="24"/>
          <w:lang w:val="en-ID"/>
        </w:rPr>
      </w:pPr>
    </w:p>
    <w:bookmarkEnd w:id="0"/>
    <w:bookmarkEnd w:id="1"/>
    <w:bookmarkEnd w:id="2"/>
    <w:p w:rsidR="009708E8" w:rsidRDefault="009708E8"/>
    <w:sectPr w:rsidR="009708E8" w:rsidSect="005D2C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A9B" w:rsidRDefault="00F61A9B" w:rsidP="00026116">
      <w:pPr>
        <w:spacing w:after="0" w:line="240" w:lineRule="auto"/>
      </w:pPr>
      <w:r>
        <w:separator/>
      </w:r>
    </w:p>
  </w:endnote>
  <w:endnote w:type="continuationSeparator" w:id="0">
    <w:p w:rsidR="00F61A9B" w:rsidRDefault="00F61A9B" w:rsidP="000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C55" w:rsidRDefault="005D2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138824"/>
      <w:docPartObj>
        <w:docPartGallery w:val="Page Numbers (Bottom of Page)"/>
        <w:docPartUnique/>
      </w:docPartObj>
    </w:sdtPr>
    <w:sdtEndPr>
      <w:rPr>
        <w:noProof/>
      </w:rPr>
    </w:sdtEndPr>
    <w:sdtContent>
      <w:bookmarkStart w:id="3" w:name="_GoBack" w:displacedByCustomXml="prev"/>
      <w:bookmarkEnd w:id="3" w:displacedByCustomXml="prev"/>
      <w:p w:rsidR="005D2C55" w:rsidRDefault="005D2C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D2C55" w:rsidRDefault="005D2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C55" w:rsidRDefault="005D2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A9B" w:rsidRDefault="00F61A9B" w:rsidP="00026116">
      <w:pPr>
        <w:spacing w:after="0" w:line="240" w:lineRule="auto"/>
      </w:pPr>
      <w:r>
        <w:separator/>
      </w:r>
    </w:p>
  </w:footnote>
  <w:footnote w:type="continuationSeparator" w:id="0">
    <w:p w:rsidR="00F61A9B" w:rsidRDefault="00F61A9B" w:rsidP="0002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C55" w:rsidRDefault="005D2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16" w:rsidRPr="006D552B" w:rsidRDefault="00026116" w:rsidP="00026116">
    <w:pPr>
      <w:spacing w:after="0" w:line="240" w:lineRule="auto"/>
      <w:rPr>
        <w:rFonts w:ascii="Rockwell" w:hAnsi="Rockwell" w:cs="Adobe Hebrew"/>
        <w:color w:val="00B050"/>
        <w:sz w:val="52"/>
        <w:szCs w:val="52"/>
      </w:rPr>
    </w:pPr>
    <w:r>
      <w:rPr>
        <w:rFonts w:ascii="Rockwell" w:hAnsi="Rockwell" w:cs="Adobe Hebrew"/>
        <w:noProof/>
        <w:color w:val="00B050"/>
        <w:sz w:val="52"/>
        <w:szCs w:val="52"/>
      </w:rPr>
      <w:drawing>
        <wp:anchor distT="0" distB="0" distL="114300" distR="114300" simplePos="0" relativeHeight="251659264" behindDoc="0" locked="0" layoutInCell="1" allowOverlap="1" wp14:anchorId="152E5A9A" wp14:editId="2E567FDE">
          <wp:simplePos x="0" y="0"/>
          <wp:positionH relativeFrom="column">
            <wp:posOffset>5179060</wp:posOffset>
          </wp:positionH>
          <wp:positionV relativeFrom="paragraph">
            <wp:posOffset>-114300</wp:posOffset>
          </wp:positionV>
          <wp:extent cx="944880" cy="9817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1710"/>
                  </a:xfrm>
                  <a:prstGeom prst="rect">
                    <a:avLst/>
                  </a:prstGeom>
                  <a:noFill/>
                </pic:spPr>
              </pic:pic>
            </a:graphicData>
          </a:graphic>
          <wp14:sizeRelH relativeFrom="page">
            <wp14:pctWidth>0</wp14:pctWidth>
          </wp14:sizeRelH>
          <wp14:sizeRelV relativeFrom="page">
            <wp14:pctHeight>0</wp14:pctHeight>
          </wp14:sizeRelV>
        </wp:anchor>
      </w:drawing>
    </w:r>
    <w:r w:rsidRPr="006D552B">
      <w:rPr>
        <w:rFonts w:ascii="Rockwell" w:hAnsi="Rockwell" w:cs="Adobe Hebrew"/>
        <w:color w:val="00B050"/>
        <w:sz w:val="52"/>
        <w:szCs w:val="52"/>
      </w:rPr>
      <w:t>Law Dewantara</w:t>
    </w:r>
  </w:p>
  <w:p w:rsidR="00026116" w:rsidRPr="006D552B" w:rsidRDefault="00026116" w:rsidP="00026116">
    <w:pPr>
      <w:spacing w:after="0" w:line="240" w:lineRule="auto"/>
      <w:rPr>
        <w:rFonts w:ascii="Rockwell" w:hAnsi="Rockwell" w:cs="Adobe Hebrew"/>
        <w:color w:val="00B050"/>
      </w:rPr>
    </w:pPr>
    <w:r w:rsidRPr="006D552B">
      <w:rPr>
        <w:rFonts w:ascii="Rockwell" w:hAnsi="Rockwell" w:cs="Adobe Hebrew"/>
        <w:color w:val="00B050"/>
      </w:rPr>
      <w:t>Jurnal Ilmu Hukum</w:t>
    </w:r>
  </w:p>
  <w:p w:rsidR="00026116" w:rsidRDefault="00026116" w:rsidP="00026116">
    <w:pPr>
      <w:spacing w:after="0" w:line="240" w:lineRule="auto"/>
      <w:rPr>
        <w:rStyle w:val="Strong"/>
        <w:rFonts w:ascii="Segoe UI" w:hAnsi="Segoe UI" w:cs="Segoe UI"/>
        <w:color w:val="00B050"/>
        <w:sz w:val="21"/>
        <w:szCs w:val="21"/>
        <w:shd w:val="clear" w:color="auto" w:fill="F0F0F0"/>
      </w:rPr>
    </w:pPr>
    <w:r w:rsidRPr="006D552B">
      <w:rPr>
        <w:rFonts w:ascii="Rockwell" w:hAnsi="Rockwell" w:cs="Adobe Hebrew"/>
        <w:color w:val="00B050"/>
        <w:lang w:val="id-ID"/>
      </w:rPr>
      <w:t>E-ISSN</w:t>
    </w:r>
    <w:r w:rsidRPr="006D552B">
      <w:rPr>
        <w:rFonts w:ascii="Rockwell" w:hAnsi="Rockwell" w:cs="Adobe Hebrew"/>
        <w:color w:val="00B050"/>
      </w:rPr>
      <w:t xml:space="preserve"> :</w:t>
    </w:r>
    <w:r w:rsidRPr="006D552B">
      <w:rPr>
        <w:rFonts w:ascii="Rockwell" w:hAnsi="Rockwell"/>
        <w:color w:val="00B050"/>
      </w:rPr>
      <w:t xml:space="preserve"> </w:t>
    </w:r>
    <w:r w:rsidRPr="006D552B">
      <w:rPr>
        <w:rStyle w:val="Strong"/>
        <w:rFonts w:ascii="Segoe UI" w:hAnsi="Segoe UI" w:cs="Segoe UI"/>
        <w:color w:val="00B050"/>
        <w:sz w:val="21"/>
        <w:szCs w:val="21"/>
        <w:shd w:val="clear" w:color="auto" w:fill="F0F0F0"/>
      </w:rPr>
      <w:t>2807-162X</w:t>
    </w:r>
  </w:p>
  <w:p w:rsidR="00026116" w:rsidRDefault="00F61A9B" w:rsidP="00026116">
    <w:pPr>
      <w:spacing w:after="0" w:line="240" w:lineRule="auto"/>
      <w:rPr>
        <w:rFonts w:ascii="Rockwell" w:hAnsi="Rockwell" w:cs="Adobe Hebrew"/>
        <w:b/>
        <w:color w:val="00B050"/>
      </w:rPr>
    </w:pPr>
    <w:hyperlink r:id="rId2" w:history="1">
      <w:r w:rsidR="009919C0" w:rsidRPr="00B92B1F">
        <w:rPr>
          <w:rStyle w:val="Hyperlink"/>
          <w:rFonts w:ascii="Rockwell" w:hAnsi="Rockwell" w:cs="Adobe Hebrew"/>
          <w:b/>
        </w:rPr>
        <w:t>https://ejournal.unitaspalembang.com/index.php/ld</w:t>
      </w:r>
    </w:hyperlink>
  </w:p>
  <w:p w:rsidR="009919C0" w:rsidRDefault="009919C0" w:rsidP="00026116">
    <w:pPr>
      <w:spacing w:after="0" w:line="240" w:lineRule="auto"/>
      <w:rPr>
        <w:rFonts w:ascii="Rockwell" w:hAnsi="Rockwell" w:cs="Adobe Hebrew"/>
        <w:b/>
        <w:color w:val="00B050"/>
      </w:rPr>
    </w:pPr>
  </w:p>
  <w:p w:rsidR="009919C0" w:rsidRPr="006D552B" w:rsidRDefault="009919C0" w:rsidP="00026116">
    <w:pPr>
      <w:spacing w:after="0" w:line="240" w:lineRule="auto"/>
      <w:rPr>
        <w:rFonts w:ascii="Rockwell" w:hAnsi="Rockwell" w:cs="Adobe Hebrew"/>
        <w:b/>
        <w:color w:val="00B050"/>
      </w:rPr>
    </w:pPr>
  </w:p>
  <w:p w:rsidR="00026116" w:rsidRPr="00A66F0C" w:rsidRDefault="00026116" w:rsidP="00026116">
    <w:pPr>
      <w:spacing w:after="0" w:line="240" w:lineRule="auto"/>
      <w:rPr>
        <w:rFonts w:ascii="Rockwell" w:hAnsi="Rockwell" w:cs="Adobe Hebre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C55" w:rsidRDefault="005D2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4F66"/>
    <w:multiLevelType w:val="hybridMultilevel"/>
    <w:tmpl w:val="2440EE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83EE4"/>
    <w:multiLevelType w:val="hybridMultilevel"/>
    <w:tmpl w:val="A176D07C"/>
    <w:lvl w:ilvl="0" w:tplc="3809000B">
      <w:start w:val="1"/>
      <w:numFmt w:val="bullet"/>
      <w:lvlText w:val=""/>
      <w:lvlJc w:val="left"/>
      <w:pPr>
        <w:ind w:left="1304" w:hanging="360"/>
      </w:pPr>
      <w:rPr>
        <w:rFonts w:ascii="Wingdings" w:hAnsi="Wingdings" w:hint="default"/>
      </w:rPr>
    </w:lvl>
    <w:lvl w:ilvl="1" w:tplc="38090003" w:tentative="1">
      <w:start w:val="1"/>
      <w:numFmt w:val="bullet"/>
      <w:lvlText w:val="o"/>
      <w:lvlJc w:val="left"/>
      <w:pPr>
        <w:ind w:left="2024" w:hanging="360"/>
      </w:pPr>
      <w:rPr>
        <w:rFonts w:ascii="Courier New" w:hAnsi="Courier New" w:cs="Courier New" w:hint="default"/>
      </w:rPr>
    </w:lvl>
    <w:lvl w:ilvl="2" w:tplc="38090005" w:tentative="1">
      <w:start w:val="1"/>
      <w:numFmt w:val="bullet"/>
      <w:lvlText w:val=""/>
      <w:lvlJc w:val="left"/>
      <w:pPr>
        <w:ind w:left="2744" w:hanging="360"/>
      </w:pPr>
      <w:rPr>
        <w:rFonts w:ascii="Wingdings" w:hAnsi="Wingdings" w:hint="default"/>
      </w:rPr>
    </w:lvl>
    <w:lvl w:ilvl="3" w:tplc="38090001" w:tentative="1">
      <w:start w:val="1"/>
      <w:numFmt w:val="bullet"/>
      <w:lvlText w:val=""/>
      <w:lvlJc w:val="left"/>
      <w:pPr>
        <w:ind w:left="3464" w:hanging="360"/>
      </w:pPr>
      <w:rPr>
        <w:rFonts w:ascii="Symbol" w:hAnsi="Symbol" w:hint="default"/>
      </w:rPr>
    </w:lvl>
    <w:lvl w:ilvl="4" w:tplc="38090003" w:tentative="1">
      <w:start w:val="1"/>
      <w:numFmt w:val="bullet"/>
      <w:lvlText w:val="o"/>
      <w:lvlJc w:val="left"/>
      <w:pPr>
        <w:ind w:left="4184" w:hanging="360"/>
      </w:pPr>
      <w:rPr>
        <w:rFonts w:ascii="Courier New" w:hAnsi="Courier New" w:cs="Courier New" w:hint="default"/>
      </w:rPr>
    </w:lvl>
    <w:lvl w:ilvl="5" w:tplc="38090005" w:tentative="1">
      <w:start w:val="1"/>
      <w:numFmt w:val="bullet"/>
      <w:lvlText w:val=""/>
      <w:lvlJc w:val="left"/>
      <w:pPr>
        <w:ind w:left="4904" w:hanging="360"/>
      </w:pPr>
      <w:rPr>
        <w:rFonts w:ascii="Wingdings" w:hAnsi="Wingdings" w:hint="default"/>
      </w:rPr>
    </w:lvl>
    <w:lvl w:ilvl="6" w:tplc="38090001" w:tentative="1">
      <w:start w:val="1"/>
      <w:numFmt w:val="bullet"/>
      <w:lvlText w:val=""/>
      <w:lvlJc w:val="left"/>
      <w:pPr>
        <w:ind w:left="5624" w:hanging="360"/>
      </w:pPr>
      <w:rPr>
        <w:rFonts w:ascii="Symbol" w:hAnsi="Symbol" w:hint="default"/>
      </w:rPr>
    </w:lvl>
    <w:lvl w:ilvl="7" w:tplc="38090003" w:tentative="1">
      <w:start w:val="1"/>
      <w:numFmt w:val="bullet"/>
      <w:lvlText w:val="o"/>
      <w:lvlJc w:val="left"/>
      <w:pPr>
        <w:ind w:left="6344" w:hanging="360"/>
      </w:pPr>
      <w:rPr>
        <w:rFonts w:ascii="Courier New" w:hAnsi="Courier New" w:cs="Courier New" w:hint="default"/>
      </w:rPr>
    </w:lvl>
    <w:lvl w:ilvl="8" w:tplc="38090005" w:tentative="1">
      <w:start w:val="1"/>
      <w:numFmt w:val="bullet"/>
      <w:lvlText w:val=""/>
      <w:lvlJc w:val="left"/>
      <w:pPr>
        <w:ind w:left="7064" w:hanging="360"/>
      </w:pPr>
      <w:rPr>
        <w:rFonts w:ascii="Wingdings" w:hAnsi="Wingdings" w:hint="default"/>
      </w:rPr>
    </w:lvl>
  </w:abstractNum>
  <w:abstractNum w:abstractNumId="2" w15:restartNumberingAfterBreak="0">
    <w:nsid w:val="07B1456B"/>
    <w:multiLevelType w:val="hybridMultilevel"/>
    <w:tmpl w:val="3CAE3D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9826D98"/>
    <w:multiLevelType w:val="hybridMultilevel"/>
    <w:tmpl w:val="A01A6C90"/>
    <w:lvl w:ilvl="0" w:tplc="3809000B">
      <w:start w:val="1"/>
      <w:numFmt w:val="bullet"/>
      <w:lvlText w:val=""/>
      <w:lvlJc w:val="left"/>
      <w:pPr>
        <w:ind w:left="1353" w:hanging="360"/>
      </w:pPr>
      <w:rPr>
        <w:rFonts w:ascii="Wingdings" w:hAnsi="Wingdings"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4" w15:restartNumberingAfterBreak="0">
    <w:nsid w:val="0DCA256A"/>
    <w:multiLevelType w:val="hybridMultilevel"/>
    <w:tmpl w:val="B6880D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323BE2"/>
    <w:multiLevelType w:val="hybridMultilevel"/>
    <w:tmpl w:val="F97CAB0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E5E4167"/>
    <w:multiLevelType w:val="hybridMultilevel"/>
    <w:tmpl w:val="4724C6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7C2F94"/>
    <w:multiLevelType w:val="hybridMultilevel"/>
    <w:tmpl w:val="58BEDF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D72188"/>
    <w:multiLevelType w:val="hybridMultilevel"/>
    <w:tmpl w:val="A6D494EE"/>
    <w:lvl w:ilvl="0" w:tplc="AE00BE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473125"/>
    <w:multiLevelType w:val="hybridMultilevel"/>
    <w:tmpl w:val="32B821B8"/>
    <w:lvl w:ilvl="0" w:tplc="04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95862A8"/>
    <w:multiLevelType w:val="hybridMultilevel"/>
    <w:tmpl w:val="067C1D9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2AE67222"/>
    <w:multiLevelType w:val="hybridMultilevel"/>
    <w:tmpl w:val="67C209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42612F"/>
    <w:multiLevelType w:val="hybridMultilevel"/>
    <w:tmpl w:val="5406E4FA"/>
    <w:lvl w:ilvl="0" w:tplc="100289D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32B176B1"/>
    <w:multiLevelType w:val="hybridMultilevel"/>
    <w:tmpl w:val="D8C8FF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456EA0"/>
    <w:multiLevelType w:val="hybridMultilevel"/>
    <w:tmpl w:val="953E0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279C0"/>
    <w:multiLevelType w:val="hybridMultilevel"/>
    <w:tmpl w:val="E29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06A5E"/>
    <w:multiLevelType w:val="hybridMultilevel"/>
    <w:tmpl w:val="95BE01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9C7F70"/>
    <w:multiLevelType w:val="hybridMultilevel"/>
    <w:tmpl w:val="883E5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77D4E"/>
    <w:multiLevelType w:val="hybridMultilevel"/>
    <w:tmpl w:val="C1CE9398"/>
    <w:lvl w:ilvl="0" w:tplc="E6E43482">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547EC8"/>
    <w:multiLevelType w:val="hybridMultilevel"/>
    <w:tmpl w:val="D48CA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A6ABC"/>
    <w:multiLevelType w:val="hybridMultilevel"/>
    <w:tmpl w:val="51A82344"/>
    <w:lvl w:ilvl="0" w:tplc="E2A80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AC167D4"/>
    <w:multiLevelType w:val="hybridMultilevel"/>
    <w:tmpl w:val="F8765606"/>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22" w15:restartNumberingAfterBreak="0">
    <w:nsid w:val="5BE2344D"/>
    <w:multiLevelType w:val="hybridMultilevel"/>
    <w:tmpl w:val="E59E8EC8"/>
    <w:lvl w:ilvl="0" w:tplc="A0ECEF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BE7931"/>
    <w:multiLevelType w:val="hybridMultilevel"/>
    <w:tmpl w:val="20B2C358"/>
    <w:lvl w:ilvl="0" w:tplc="1DD26D44">
      <w:start w:val="1"/>
      <w:numFmt w:val="upperLetter"/>
      <w:lvlText w:val="%1."/>
      <w:lvlJc w:val="left"/>
      <w:pPr>
        <w:ind w:left="2943" w:hanging="358"/>
        <w:jc w:val="right"/>
      </w:pPr>
      <w:rPr>
        <w:rFonts w:ascii="Times New Roman" w:eastAsia="Times New Roman" w:hAnsi="Times New Roman" w:cs="Times New Roman" w:hint="default"/>
        <w:b/>
        <w:bCs/>
        <w:i w:val="0"/>
        <w:iCs w:val="0"/>
        <w:spacing w:val="-1"/>
        <w:w w:val="100"/>
        <w:sz w:val="24"/>
        <w:szCs w:val="24"/>
        <w:lang w:eastAsia="en-US" w:bidi="ar-SA"/>
      </w:rPr>
    </w:lvl>
    <w:lvl w:ilvl="1" w:tplc="77FEDE32">
      <w:start w:val="1"/>
      <w:numFmt w:val="decimal"/>
      <w:lvlText w:val="%2."/>
      <w:lvlJc w:val="left"/>
      <w:pPr>
        <w:ind w:left="1047" w:hanging="360"/>
      </w:pPr>
      <w:rPr>
        <w:rFonts w:ascii="Times New Roman" w:eastAsia="Times New Roman" w:hAnsi="Times New Roman" w:cs="Times New Roman"/>
        <w:spacing w:val="0"/>
        <w:w w:val="100"/>
        <w:lang w:eastAsia="en-US" w:bidi="ar-SA"/>
      </w:rPr>
    </w:lvl>
    <w:lvl w:ilvl="2" w:tplc="714A7CA8">
      <w:start w:val="1"/>
      <w:numFmt w:val="lowerLetter"/>
      <w:lvlText w:val="%3."/>
      <w:lvlJc w:val="left"/>
      <w:pPr>
        <w:ind w:left="1385" w:hanging="360"/>
      </w:pPr>
      <w:rPr>
        <w:rFonts w:ascii="Times New Roman" w:eastAsia="Times New Roman" w:hAnsi="Times New Roman" w:cs="Times New Roman" w:hint="default"/>
        <w:b w:val="0"/>
        <w:bCs w:val="0"/>
        <w:i w:val="0"/>
        <w:iCs w:val="0"/>
        <w:spacing w:val="-1"/>
        <w:w w:val="100"/>
        <w:sz w:val="24"/>
        <w:szCs w:val="24"/>
        <w:lang w:eastAsia="en-US" w:bidi="ar-SA"/>
      </w:rPr>
    </w:lvl>
    <w:lvl w:ilvl="3" w:tplc="A6603F6C">
      <w:numFmt w:val="bullet"/>
      <w:lvlText w:val="•"/>
      <w:lvlJc w:val="left"/>
      <w:pPr>
        <w:ind w:left="2392" w:hanging="360"/>
      </w:pPr>
      <w:rPr>
        <w:rFonts w:hint="default"/>
        <w:lang w:eastAsia="en-US" w:bidi="ar-SA"/>
      </w:rPr>
    </w:lvl>
    <w:lvl w:ilvl="4" w:tplc="6D90C5CA">
      <w:numFmt w:val="bullet"/>
      <w:lvlText w:val="•"/>
      <w:lvlJc w:val="left"/>
      <w:pPr>
        <w:ind w:left="3318" w:hanging="360"/>
      </w:pPr>
      <w:rPr>
        <w:rFonts w:hint="default"/>
        <w:lang w:eastAsia="en-US" w:bidi="ar-SA"/>
      </w:rPr>
    </w:lvl>
    <w:lvl w:ilvl="5" w:tplc="6540D542">
      <w:numFmt w:val="bullet"/>
      <w:lvlText w:val="•"/>
      <w:lvlJc w:val="left"/>
      <w:pPr>
        <w:ind w:left="4244" w:hanging="360"/>
      </w:pPr>
      <w:rPr>
        <w:rFonts w:hint="default"/>
        <w:lang w:eastAsia="en-US" w:bidi="ar-SA"/>
      </w:rPr>
    </w:lvl>
    <w:lvl w:ilvl="6" w:tplc="032C118A">
      <w:numFmt w:val="bullet"/>
      <w:lvlText w:val="•"/>
      <w:lvlJc w:val="left"/>
      <w:pPr>
        <w:ind w:left="5170" w:hanging="360"/>
      </w:pPr>
      <w:rPr>
        <w:rFonts w:hint="default"/>
        <w:lang w:eastAsia="en-US" w:bidi="ar-SA"/>
      </w:rPr>
    </w:lvl>
    <w:lvl w:ilvl="7" w:tplc="2FE014CC">
      <w:numFmt w:val="bullet"/>
      <w:lvlText w:val="•"/>
      <w:lvlJc w:val="left"/>
      <w:pPr>
        <w:ind w:left="6096" w:hanging="360"/>
      </w:pPr>
      <w:rPr>
        <w:rFonts w:hint="default"/>
        <w:lang w:eastAsia="en-US" w:bidi="ar-SA"/>
      </w:rPr>
    </w:lvl>
    <w:lvl w:ilvl="8" w:tplc="28627FD8">
      <w:numFmt w:val="bullet"/>
      <w:lvlText w:val="•"/>
      <w:lvlJc w:val="left"/>
      <w:pPr>
        <w:ind w:left="7021" w:hanging="360"/>
      </w:pPr>
      <w:rPr>
        <w:rFonts w:hint="default"/>
        <w:lang w:eastAsia="en-US" w:bidi="ar-SA"/>
      </w:rPr>
    </w:lvl>
  </w:abstractNum>
  <w:abstractNum w:abstractNumId="24" w15:restartNumberingAfterBreak="0">
    <w:nsid w:val="67992B7D"/>
    <w:multiLevelType w:val="hybridMultilevel"/>
    <w:tmpl w:val="2F948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8E023F1"/>
    <w:multiLevelType w:val="hybridMultilevel"/>
    <w:tmpl w:val="29CCD5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A6252D"/>
    <w:multiLevelType w:val="hybridMultilevel"/>
    <w:tmpl w:val="FC805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4"/>
  </w:num>
  <w:num w:numId="3">
    <w:abstractNumId w:val="2"/>
  </w:num>
  <w:num w:numId="4">
    <w:abstractNumId w:val="21"/>
  </w:num>
  <w:num w:numId="5">
    <w:abstractNumId w:val="9"/>
  </w:num>
  <w:num w:numId="6">
    <w:abstractNumId w:val="1"/>
  </w:num>
  <w:num w:numId="7">
    <w:abstractNumId w:val="3"/>
  </w:num>
  <w:num w:numId="8">
    <w:abstractNumId w:val="10"/>
  </w:num>
  <w:num w:numId="9">
    <w:abstractNumId w:val="8"/>
  </w:num>
  <w:num w:numId="10">
    <w:abstractNumId w:val="22"/>
  </w:num>
  <w:num w:numId="11">
    <w:abstractNumId w:val="11"/>
  </w:num>
  <w:num w:numId="12">
    <w:abstractNumId w:val="12"/>
  </w:num>
  <w:num w:numId="13">
    <w:abstractNumId w:val="23"/>
  </w:num>
  <w:num w:numId="14">
    <w:abstractNumId w:val="7"/>
  </w:num>
  <w:num w:numId="15">
    <w:abstractNumId w:val="13"/>
  </w:num>
  <w:num w:numId="16">
    <w:abstractNumId w:val="0"/>
  </w:num>
  <w:num w:numId="17">
    <w:abstractNumId w:val="18"/>
  </w:num>
  <w:num w:numId="18">
    <w:abstractNumId w:val="15"/>
  </w:num>
  <w:num w:numId="19">
    <w:abstractNumId w:val="14"/>
  </w:num>
  <w:num w:numId="20">
    <w:abstractNumId w:val="26"/>
  </w:num>
  <w:num w:numId="21">
    <w:abstractNumId w:val="25"/>
  </w:num>
  <w:num w:numId="22">
    <w:abstractNumId w:val="19"/>
  </w:num>
  <w:num w:numId="23">
    <w:abstractNumId w:val="6"/>
  </w:num>
  <w:num w:numId="24">
    <w:abstractNumId w:val="16"/>
  </w:num>
  <w:num w:numId="25">
    <w:abstractNumId w:val="4"/>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6"/>
    <w:rsid w:val="00026116"/>
    <w:rsid w:val="00067851"/>
    <w:rsid w:val="002427BF"/>
    <w:rsid w:val="002D2E9D"/>
    <w:rsid w:val="003D2CB9"/>
    <w:rsid w:val="00472642"/>
    <w:rsid w:val="004A14AE"/>
    <w:rsid w:val="005D2C55"/>
    <w:rsid w:val="00674CA7"/>
    <w:rsid w:val="006C225C"/>
    <w:rsid w:val="006E692D"/>
    <w:rsid w:val="00734E99"/>
    <w:rsid w:val="007A5AEE"/>
    <w:rsid w:val="008F125E"/>
    <w:rsid w:val="009708E8"/>
    <w:rsid w:val="009919C0"/>
    <w:rsid w:val="00A75828"/>
    <w:rsid w:val="00AB716A"/>
    <w:rsid w:val="00D61A16"/>
    <w:rsid w:val="00EC7CC2"/>
    <w:rsid w:val="00F24F38"/>
    <w:rsid w:val="00F61A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476-6292-4013-B3B0-7D9B95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1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26116"/>
    <w:rPr>
      <w:b/>
      <w:bCs/>
    </w:rPr>
  </w:style>
  <w:style w:type="paragraph" w:styleId="Header">
    <w:name w:val="header"/>
    <w:basedOn w:val="Normal"/>
    <w:link w:val="HeaderChar"/>
    <w:uiPriority w:val="99"/>
    <w:unhideWhenUsed/>
    <w:rsid w:val="000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16"/>
    <w:rPr>
      <w:rFonts w:ascii="Calibri" w:eastAsia="Calibri" w:hAnsi="Calibri" w:cs="Times New Roman"/>
      <w:lang w:val="en-US"/>
    </w:rPr>
  </w:style>
  <w:style w:type="paragraph" w:styleId="Footer">
    <w:name w:val="footer"/>
    <w:basedOn w:val="Normal"/>
    <w:link w:val="FooterChar"/>
    <w:uiPriority w:val="99"/>
    <w:unhideWhenUsed/>
    <w:rsid w:val="000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16"/>
    <w:rPr>
      <w:rFonts w:ascii="Calibri" w:eastAsia="Calibri" w:hAnsi="Calibri" w:cs="Times New Roman"/>
      <w:lang w:val="en-US"/>
    </w:rPr>
  </w:style>
  <w:style w:type="paragraph" w:styleId="FootnoteText">
    <w:name w:val="footnote text"/>
    <w:basedOn w:val="Normal"/>
    <w:link w:val="FootnoteTextChar"/>
    <w:uiPriority w:val="99"/>
    <w:unhideWhenUsed/>
    <w:rsid w:val="004A14A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4A14AE"/>
    <w:rPr>
      <w:sz w:val="20"/>
      <w:szCs w:val="20"/>
    </w:rPr>
  </w:style>
  <w:style w:type="character" w:styleId="FootnoteReference">
    <w:name w:val="footnote reference"/>
    <w:basedOn w:val="DefaultParagraphFont"/>
    <w:uiPriority w:val="99"/>
    <w:semiHidden/>
    <w:unhideWhenUsed/>
    <w:rsid w:val="004A14AE"/>
    <w:rPr>
      <w:vertAlign w:val="superscript"/>
    </w:rPr>
  </w:style>
  <w:style w:type="character" w:styleId="Hyperlink">
    <w:name w:val="Hyperlink"/>
    <w:basedOn w:val="DefaultParagraphFont"/>
    <w:uiPriority w:val="99"/>
    <w:unhideWhenUsed/>
    <w:rsid w:val="004A14AE"/>
    <w:rPr>
      <w:color w:val="0563C1" w:themeColor="hyperlink"/>
      <w:u w:val="single"/>
    </w:rPr>
  </w:style>
  <w:style w:type="character" w:styleId="UnresolvedMention">
    <w:name w:val="Unresolved Mention"/>
    <w:basedOn w:val="DefaultParagraphFont"/>
    <w:uiPriority w:val="99"/>
    <w:semiHidden/>
    <w:unhideWhenUsed/>
    <w:rsid w:val="009919C0"/>
    <w:rPr>
      <w:color w:val="605E5C"/>
      <w:shd w:val="clear" w:color="auto" w:fill="E1DFDD"/>
    </w:rPr>
  </w:style>
  <w:style w:type="paragraph" w:styleId="BodyText">
    <w:name w:val="Body Text"/>
    <w:basedOn w:val="Normal"/>
    <w:link w:val="BodyTextChar"/>
    <w:uiPriority w:val="1"/>
    <w:qFormat/>
    <w:rsid w:val="009919C0"/>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919C0"/>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067851"/>
    <w:pPr>
      <w:spacing w:after="160" w:line="259" w:lineRule="auto"/>
    </w:pPr>
    <w:rPr>
      <w:rFonts w:asciiTheme="minorHAnsi" w:eastAsiaTheme="minorHAnsi" w:hAnsiTheme="minorHAnsi" w:cstheme="minorBidi"/>
    </w:rPr>
  </w:style>
  <w:style w:type="paragraph" w:styleId="ListParagraph">
    <w:name w:val="List Paragraph"/>
    <w:basedOn w:val="Normal"/>
    <w:uiPriority w:val="34"/>
    <w:qFormat/>
    <w:rsid w:val="00067851"/>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41810">
      <w:bodyDiv w:val="1"/>
      <w:marLeft w:val="0"/>
      <w:marRight w:val="0"/>
      <w:marTop w:val="0"/>
      <w:marBottom w:val="0"/>
      <w:divBdr>
        <w:top w:val="none" w:sz="0" w:space="0" w:color="auto"/>
        <w:left w:val="none" w:sz="0" w:space="0" w:color="auto"/>
        <w:bottom w:val="none" w:sz="0" w:space="0" w:color="auto"/>
        <w:right w:val="none" w:sz="0" w:space="0" w:color="auto"/>
      </w:divBdr>
    </w:div>
    <w:div w:id="20062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itaspalembang.com/index.php/l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San17</b:Tag>
    <b:SourceType>Book</b:SourceType>
    <b:Guid>{F4035BD5-6EA8-43A8-B035-DE9260EF95C8}</b:Guid>
    <b:Title>Hukum Perumahan Edisi Pertama</b:Title>
    <b:Year>2017</b:Year>
    <b:City>Jakarta</b:City>
    <b:Publisher>Kencana Prenada Media Grup</b:Publisher>
    <b:Author>
      <b:Author>
        <b:NameList>
          <b:Person>
            <b:Last>Urip</b:Last>
            <b:First>Santoso</b:First>
          </b:Person>
        </b:NameList>
      </b:Author>
    </b:Author>
    <b:RefOrder>1</b:RefOrder>
  </b:Source>
  <b:Source>
    <b:Tag>Joh23</b:Tag>
    <b:SourceType>Book</b:SourceType>
    <b:Guid>{40A472B4-3D63-41D7-BD92-1B46F83F6B1C}</b:Guid>
    <b:Author>
      <b:Author>
        <b:Corporate>Johnson et.al.</b:Corporate>
      </b:Author>
    </b:Author>
    <b:Title>Journal of Real Estate Finance and Economics</b:Title>
    <b:Year>2023</b:Year>
    <b:RefOrder>2</b:RefOrder>
  </b:Source>
  <b:Source>
    <b:Tag>Smi22</b:Tag>
    <b:SourceType>Book</b:SourceType>
    <b:Guid>{AD9174A5-B447-4350-BB00-198E84D3F70B}</b:Guid>
    <b:Author>
      <b:Author>
        <b:Corporate>Smith et.al.</b:Corporate>
      </b:Author>
    </b:Author>
    <b:Title>International of Housing Market and Analysis</b:Title>
    <b:Year>2022</b:Year>
    <b:RefOrder>3</b:RefOrder>
  </b:Source>
  <b:Source>
    <b:Tag>Muh22</b:Tag>
    <b:SourceType>Book</b:SourceType>
    <b:Guid>{9D76FA71-B7AB-4EC0-A0C0-34F8C7F17E66}</b:Guid>
    <b:Author>
      <b:Author>
        <b:NameList>
          <b:Person>
            <b:Last>Tohir</b:Last>
            <b:First>Muhammad</b:First>
          </b:Person>
        </b:NameList>
      </b:Author>
    </b:Author>
    <b:Title>Penelurusan Bahan Hukum</b:Title>
    <b:Year>2022</b:Year>
    <b:City>Palembang</b:City>
    <b:Publisher>CV Auva Al Azzam</b:Publisher>
    <b:RefOrder>4</b:RefOrder>
  </b:Source>
</b:Sources>
</file>

<file path=customXml/itemProps1.xml><?xml version="1.0" encoding="utf-8"?>
<ds:datastoreItem xmlns:ds="http://schemas.openxmlformats.org/officeDocument/2006/customXml" ds:itemID="{8D4E9F53-B790-4BAD-BA3E-B0EA415B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Teten Rahman</dc:creator>
  <cp:keywords/>
  <dc:description/>
  <cp:lastModifiedBy>Teten Rahman</cp:lastModifiedBy>
  <cp:revision>5</cp:revision>
  <dcterms:created xsi:type="dcterms:W3CDTF">2024-09-14T04:00:00Z</dcterms:created>
  <dcterms:modified xsi:type="dcterms:W3CDTF">2024-10-06T07:07:00Z</dcterms:modified>
</cp:coreProperties>
</file>